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59" w:rsidRPr="00CB5F64" w:rsidRDefault="00EB6559" w:rsidP="00887D3F">
      <w:pPr>
        <w:jc w:val="both"/>
        <w:rPr>
          <w:rFonts w:ascii="Arial" w:hAnsi="Arial" w:cs="Arial"/>
          <w:b/>
          <w:sz w:val="20"/>
          <w:szCs w:val="20"/>
        </w:rPr>
      </w:pPr>
    </w:p>
    <w:p w:rsidR="00887D3F" w:rsidRPr="00CB5F64" w:rsidRDefault="00887D3F" w:rsidP="00887D3F">
      <w:pPr>
        <w:jc w:val="both"/>
        <w:rPr>
          <w:rFonts w:ascii="Arial" w:hAnsi="Arial" w:cs="Arial"/>
          <w:b/>
          <w:sz w:val="20"/>
          <w:szCs w:val="20"/>
        </w:rPr>
      </w:pPr>
      <w:r w:rsidRPr="00CB5F64">
        <w:rPr>
          <w:rFonts w:ascii="Arial" w:hAnsi="Arial" w:cs="Arial"/>
          <w:b/>
          <w:sz w:val="20"/>
          <w:szCs w:val="20"/>
        </w:rPr>
        <w:t>INTRODUCCIÓN</w:t>
      </w:r>
      <w:bookmarkStart w:id="0" w:name="_GoBack"/>
      <w:bookmarkEnd w:id="0"/>
    </w:p>
    <w:p w:rsidR="00887D3F" w:rsidRPr="00CB5F64" w:rsidRDefault="00E54796" w:rsidP="00887D3F">
      <w:pPr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 xml:space="preserve">En atención a la </w:t>
      </w:r>
      <w:r w:rsidR="00887D3F" w:rsidRPr="00CB5F64">
        <w:rPr>
          <w:rFonts w:ascii="Arial" w:hAnsi="Arial" w:cs="Arial"/>
          <w:sz w:val="20"/>
          <w:szCs w:val="20"/>
        </w:rPr>
        <w:t xml:space="preserve">solicitud de </w:t>
      </w:r>
      <w:r w:rsidRPr="00CB5F64">
        <w:rPr>
          <w:rFonts w:ascii="Arial" w:hAnsi="Arial" w:cs="Arial"/>
          <w:sz w:val="20"/>
          <w:szCs w:val="20"/>
        </w:rPr>
        <w:t>diversos</w:t>
      </w:r>
      <w:r w:rsidR="00887D3F" w:rsidRPr="00CB5F64">
        <w:rPr>
          <w:rFonts w:ascii="Arial" w:hAnsi="Arial" w:cs="Arial"/>
          <w:sz w:val="20"/>
          <w:szCs w:val="20"/>
        </w:rPr>
        <w:t xml:space="preserve"> entes públicos del país</w:t>
      </w:r>
      <w:r w:rsidR="00D820B6" w:rsidRPr="00CB5F64">
        <w:rPr>
          <w:rFonts w:ascii="Arial" w:hAnsi="Arial" w:cs="Arial"/>
          <w:sz w:val="20"/>
          <w:szCs w:val="20"/>
        </w:rPr>
        <w:t>,</w:t>
      </w:r>
      <w:r w:rsidR="00887D3F" w:rsidRPr="00CB5F64">
        <w:rPr>
          <w:rFonts w:ascii="Arial" w:hAnsi="Arial" w:cs="Arial"/>
          <w:sz w:val="20"/>
          <w:szCs w:val="20"/>
        </w:rPr>
        <w:t xml:space="preserve"> el Instituto para el Desarrollo Técnico de las Haciendas Públicas (INDETEC</w:t>
      </w:r>
      <w:r w:rsidRPr="00CB5F64">
        <w:rPr>
          <w:rFonts w:ascii="Arial" w:hAnsi="Arial" w:cs="Arial"/>
          <w:sz w:val="20"/>
          <w:szCs w:val="20"/>
        </w:rPr>
        <w:t>) diseño el presente</w:t>
      </w:r>
      <w:r w:rsidR="00887D3F" w:rsidRPr="00CB5F64">
        <w:rPr>
          <w:rFonts w:ascii="Arial" w:hAnsi="Arial" w:cs="Arial"/>
          <w:sz w:val="20"/>
          <w:szCs w:val="20"/>
        </w:rPr>
        <w:t xml:space="preserve"> ejercicio integral</w:t>
      </w:r>
      <w:r w:rsidR="00830F1A" w:rsidRPr="00CB5F64">
        <w:rPr>
          <w:rFonts w:ascii="Arial" w:hAnsi="Arial" w:cs="Arial"/>
          <w:sz w:val="20"/>
          <w:szCs w:val="20"/>
        </w:rPr>
        <w:t xml:space="preserve"> en materia de contabilidad gubernamental </w:t>
      </w:r>
      <w:r w:rsidR="00887D3F" w:rsidRPr="00CB5F64">
        <w:rPr>
          <w:rFonts w:ascii="Arial" w:hAnsi="Arial" w:cs="Arial"/>
          <w:sz w:val="20"/>
          <w:szCs w:val="20"/>
        </w:rPr>
        <w:t xml:space="preserve">para poner en práctica los conocimientos obtenidos por los participantes dentro del marco de capacitación, </w:t>
      </w:r>
      <w:r w:rsidRPr="00CB5F64">
        <w:rPr>
          <w:rFonts w:ascii="Arial" w:hAnsi="Arial" w:cs="Arial"/>
          <w:sz w:val="20"/>
          <w:szCs w:val="20"/>
        </w:rPr>
        <w:t xml:space="preserve">el ejercicio tiene </w:t>
      </w:r>
      <w:r w:rsidR="00887D3F" w:rsidRPr="00CB5F64">
        <w:rPr>
          <w:rFonts w:ascii="Arial" w:hAnsi="Arial" w:cs="Arial"/>
          <w:sz w:val="20"/>
          <w:szCs w:val="20"/>
        </w:rPr>
        <w:t xml:space="preserve">la finalidad de </w:t>
      </w:r>
      <w:r w:rsidRPr="00CB5F64">
        <w:rPr>
          <w:rFonts w:ascii="Arial" w:hAnsi="Arial" w:cs="Arial"/>
          <w:sz w:val="20"/>
          <w:szCs w:val="20"/>
        </w:rPr>
        <w:t>coadyuvar a resolver</w:t>
      </w:r>
      <w:r w:rsidR="00887D3F" w:rsidRPr="00CB5F64">
        <w:rPr>
          <w:rFonts w:ascii="Arial" w:hAnsi="Arial" w:cs="Arial"/>
          <w:sz w:val="20"/>
          <w:szCs w:val="20"/>
        </w:rPr>
        <w:t xml:space="preserve"> la problemática específica que </w:t>
      </w:r>
      <w:r w:rsidRPr="00CB5F64">
        <w:rPr>
          <w:rFonts w:ascii="Arial" w:hAnsi="Arial" w:cs="Arial"/>
          <w:sz w:val="20"/>
          <w:szCs w:val="20"/>
        </w:rPr>
        <w:t>implica</w:t>
      </w:r>
      <w:r w:rsidR="00887D3F" w:rsidRPr="00CB5F64">
        <w:rPr>
          <w:rFonts w:ascii="Arial" w:hAnsi="Arial" w:cs="Arial"/>
          <w:sz w:val="20"/>
          <w:szCs w:val="20"/>
        </w:rPr>
        <w:t xml:space="preserve"> la aplicación de la Ley General de Contabilidad Gubernamental, así como las </w:t>
      </w:r>
      <w:r w:rsidR="00D820B6" w:rsidRPr="00CB5F64">
        <w:rPr>
          <w:rFonts w:ascii="Arial" w:hAnsi="Arial" w:cs="Arial"/>
          <w:sz w:val="20"/>
          <w:szCs w:val="20"/>
        </w:rPr>
        <w:t>normas que de ella emana</w:t>
      </w:r>
      <w:r w:rsidR="00887D3F" w:rsidRPr="00CB5F64">
        <w:rPr>
          <w:rFonts w:ascii="Arial" w:hAnsi="Arial" w:cs="Arial"/>
          <w:sz w:val="20"/>
          <w:szCs w:val="20"/>
        </w:rPr>
        <w:t xml:space="preserve">n. </w:t>
      </w:r>
    </w:p>
    <w:p w:rsidR="00887D3F" w:rsidRPr="00CB5F64" w:rsidRDefault="00E54796" w:rsidP="00887D3F">
      <w:pPr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>El</w:t>
      </w:r>
      <w:r w:rsidR="00887D3F" w:rsidRPr="00CB5F64">
        <w:rPr>
          <w:rFonts w:ascii="Arial" w:hAnsi="Arial" w:cs="Arial"/>
          <w:sz w:val="20"/>
          <w:szCs w:val="20"/>
        </w:rPr>
        <w:t xml:space="preserve"> ejercicio práctico consta de una simulación de un ente público, en el que </w:t>
      </w:r>
      <w:r w:rsidRPr="00CB5F64">
        <w:rPr>
          <w:rFonts w:ascii="Arial" w:hAnsi="Arial" w:cs="Arial"/>
          <w:sz w:val="20"/>
          <w:szCs w:val="20"/>
        </w:rPr>
        <w:t>de manera indistinta</w:t>
      </w:r>
      <w:r w:rsidR="00887D3F" w:rsidRPr="00CB5F64">
        <w:rPr>
          <w:rFonts w:ascii="Arial" w:hAnsi="Arial" w:cs="Arial"/>
          <w:sz w:val="20"/>
          <w:szCs w:val="20"/>
        </w:rPr>
        <w:t xml:space="preserve"> </w:t>
      </w:r>
      <w:r w:rsidR="003F3C25" w:rsidRPr="00CB5F64">
        <w:rPr>
          <w:rFonts w:ascii="Arial" w:hAnsi="Arial" w:cs="Arial"/>
          <w:sz w:val="20"/>
          <w:szCs w:val="20"/>
        </w:rPr>
        <w:t>presenta</w:t>
      </w:r>
      <w:r w:rsidR="00D820B6" w:rsidRPr="00CB5F64">
        <w:rPr>
          <w:rFonts w:ascii="Arial" w:hAnsi="Arial" w:cs="Arial"/>
          <w:sz w:val="20"/>
          <w:szCs w:val="20"/>
        </w:rPr>
        <w:t xml:space="preserve"> </w:t>
      </w:r>
      <w:r w:rsidR="00887D3F" w:rsidRPr="00CB5F64">
        <w:rPr>
          <w:rFonts w:ascii="Arial" w:hAnsi="Arial" w:cs="Arial"/>
          <w:sz w:val="20"/>
          <w:szCs w:val="20"/>
        </w:rPr>
        <w:t xml:space="preserve">operaciones relevantes que </w:t>
      </w:r>
      <w:r w:rsidR="00085A8D">
        <w:rPr>
          <w:rFonts w:ascii="Arial" w:hAnsi="Arial" w:cs="Arial"/>
          <w:sz w:val="20"/>
          <w:szCs w:val="20"/>
        </w:rPr>
        <w:t>realizan</w:t>
      </w:r>
      <w:r w:rsidRPr="00CB5F64">
        <w:rPr>
          <w:rFonts w:ascii="Arial" w:hAnsi="Arial" w:cs="Arial"/>
          <w:sz w:val="20"/>
          <w:szCs w:val="20"/>
        </w:rPr>
        <w:t xml:space="preserve"> Entidades Federativas, Municipios o sus dependencias y entidades.</w:t>
      </w:r>
    </w:p>
    <w:p w:rsidR="00887D3F" w:rsidRPr="00CB5F64" w:rsidRDefault="00887D3F" w:rsidP="00887D3F">
      <w:pPr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 xml:space="preserve">Iniciarán con una balanza de comprobación </w:t>
      </w:r>
      <w:r w:rsidR="0085764F" w:rsidRPr="00CB5F64">
        <w:rPr>
          <w:rFonts w:ascii="Arial" w:hAnsi="Arial" w:cs="Arial"/>
          <w:sz w:val="20"/>
          <w:szCs w:val="20"/>
        </w:rPr>
        <w:t>que corresponde</w:t>
      </w:r>
      <w:r w:rsidR="001867EF" w:rsidRPr="00CB5F64">
        <w:rPr>
          <w:rFonts w:ascii="Arial" w:hAnsi="Arial" w:cs="Arial"/>
          <w:sz w:val="20"/>
          <w:szCs w:val="20"/>
        </w:rPr>
        <w:t xml:space="preserve"> a operaciones realizadas</w:t>
      </w:r>
      <w:r w:rsidRPr="00CB5F64">
        <w:rPr>
          <w:rFonts w:ascii="Arial" w:hAnsi="Arial" w:cs="Arial"/>
          <w:sz w:val="20"/>
          <w:szCs w:val="20"/>
        </w:rPr>
        <w:t xml:space="preserve"> del 1 de enero al 30 de nov</w:t>
      </w:r>
      <w:r w:rsidR="00E848F8">
        <w:rPr>
          <w:rFonts w:ascii="Arial" w:hAnsi="Arial" w:cs="Arial"/>
          <w:sz w:val="20"/>
          <w:szCs w:val="20"/>
        </w:rPr>
        <w:t>iembre del ejercicio fiscal 2018</w:t>
      </w:r>
      <w:r w:rsidRPr="00CB5F64">
        <w:rPr>
          <w:rFonts w:ascii="Arial" w:hAnsi="Arial" w:cs="Arial"/>
          <w:sz w:val="20"/>
          <w:szCs w:val="20"/>
        </w:rPr>
        <w:t>, dicha balanza ya estará precargada en cuentas “T” o esquemas de mayor, así como en una hoja de trabajo</w:t>
      </w:r>
      <w:r w:rsidR="0085764F" w:rsidRPr="00CB5F64">
        <w:rPr>
          <w:rFonts w:ascii="Arial" w:hAnsi="Arial" w:cs="Arial"/>
          <w:sz w:val="20"/>
          <w:szCs w:val="20"/>
        </w:rPr>
        <w:t>,</w:t>
      </w:r>
      <w:r w:rsidR="001867EF" w:rsidRPr="00CB5F64">
        <w:rPr>
          <w:rFonts w:ascii="Arial" w:hAnsi="Arial" w:cs="Arial"/>
          <w:sz w:val="20"/>
          <w:szCs w:val="20"/>
        </w:rPr>
        <w:t xml:space="preserve"> elementos que están incluido</w:t>
      </w:r>
      <w:r w:rsidRPr="00CB5F64">
        <w:rPr>
          <w:rFonts w:ascii="Arial" w:hAnsi="Arial" w:cs="Arial"/>
          <w:sz w:val="20"/>
          <w:szCs w:val="20"/>
        </w:rPr>
        <w:t xml:space="preserve">s en el </w:t>
      </w:r>
      <w:r w:rsidR="001867EF" w:rsidRPr="00CB5F64">
        <w:rPr>
          <w:rFonts w:ascii="Arial" w:hAnsi="Arial" w:cs="Arial"/>
          <w:sz w:val="20"/>
          <w:szCs w:val="20"/>
        </w:rPr>
        <w:t xml:space="preserve">presente </w:t>
      </w:r>
      <w:r w:rsidRPr="00CB5F64">
        <w:rPr>
          <w:rFonts w:ascii="Arial" w:hAnsi="Arial" w:cs="Arial"/>
          <w:sz w:val="20"/>
          <w:szCs w:val="20"/>
        </w:rPr>
        <w:t xml:space="preserve">material, por lo tanto este punto se convierte en el </w:t>
      </w:r>
      <w:r w:rsidRPr="00CB5F64">
        <w:rPr>
          <w:rFonts w:ascii="Arial" w:hAnsi="Arial" w:cs="Arial"/>
          <w:b/>
          <w:sz w:val="20"/>
          <w:szCs w:val="20"/>
        </w:rPr>
        <w:t>asiento No “1”.</w:t>
      </w:r>
    </w:p>
    <w:p w:rsidR="00887D3F" w:rsidRPr="00CB5F64" w:rsidRDefault="00887D3F" w:rsidP="00887D3F">
      <w:pPr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>Además encontrarán dentro del material un apartado llamado “Instrucciones” las cuales contienen lo siguiente:</w:t>
      </w:r>
    </w:p>
    <w:p w:rsidR="00FF37B6" w:rsidRPr="00CB5F64" w:rsidRDefault="00FF0369" w:rsidP="00887D3F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CB5F64">
        <w:rPr>
          <w:rFonts w:ascii="Arial" w:hAnsi="Arial" w:cs="Arial"/>
          <w:b/>
          <w:sz w:val="20"/>
          <w:szCs w:val="20"/>
        </w:rPr>
        <w:t>Asientos Contables y Presupuestales.</w:t>
      </w:r>
    </w:p>
    <w:p w:rsidR="00887D3F" w:rsidRPr="00CB5F64" w:rsidRDefault="001867EF" w:rsidP="00887D3F">
      <w:pPr>
        <w:ind w:left="360"/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>Registrar e</w:t>
      </w:r>
      <w:r w:rsidR="00887D3F" w:rsidRPr="00CB5F64">
        <w:rPr>
          <w:rFonts w:ascii="Arial" w:hAnsi="Arial" w:cs="Arial"/>
          <w:sz w:val="20"/>
          <w:szCs w:val="20"/>
        </w:rPr>
        <w:t>n este punto se encontra</w:t>
      </w:r>
      <w:r w:rsidR="00B92381" w:rsidRPr="00CB5F64">
        <w:rPr>
          <w:rFonts w:ascii="Arial" w:hAnsi="Arial" w:cs="Arial"/>
          <w:sz w:val="20"/>
          <w:szCs w:val="20"/>
        </w:rPr>
        <w:t>rá</w:t>
      </w:r>
      <w:r w:rsidR="00E848F8">
        <w:rPr>
          <w:rFonts w:ascii="Arial" w:hAnsi="Arial" w:cs="Arial"/>
          <w:sz w:val="20"/>
          <w:szCs w:val="20"/>
        </w:rPr>
        <w:t>n 22</w:t>
      </w:r>
      <w:r w:rsidR="00887D3F" w:rsidRPr="00CB5F64">
        <w:rPr>
          <w:rFonts w:ascii="Arial" w:hAnsi="Arial" w:cs="Arial"/>
          <w:sz w:val="20"/>
          <w:szCs w:val="20"/>
        </w:rPr>
        <w:t xml:space="preserve"> </w:t>
      </w:r>
      <w:r w:rsidRPr="00CB5F64">
        <w:rPr>
          <w:rFonts w:ascii="Arial" w:hAnsi="Arial" w:cs="Arial"/>
          <w:sz w:val="20"/>
          <w:szCs w:val="20"/>
        </w:rPr>
        <w:t>transacciones</w:t>
      </w:r>
      <w:r w:rsidR="00887D3F" w:rsidRPr="00CB5F64">
        <w:rPr>
          <w:rFonts w:ascii="Arial" w:hAnsi="Arial" w:cs="Arial"/>
          <w:sz w:val="20"/>
          <w:szCs w:val="20"/>
        </w:rPr>
        <w:t xml:space="preserve"> que el participante tendrá que</w:t>
      </w:r>
      <w:r w:rsidR="00324181" w:rsidRPr="00CB5F64">
        <w:rPr>
          <w:rFonts w:ascii="Arial" w:hAnsi="Arial" w:cs="Arial"/>
          <w:sz w:val="20"/>
          <w:szCs w:val="20"/>
        </w:rPr>
        <w:t xml:space="preserve"> analizar y</w:t>
      </w:r>
      <w:r w:rsidR="00887D3F" w:rsidRPr="00CB5F64">
        <w:rPr>
          <w:rFonts w:ascii="Arial" w:hAnsi="Arial" w:cs="Arial"/>
          <w:sz w:val="20"/>
          <w:szCs w:val="20"/>
        </w:rPr>
        <w:t xml:space="preserve"> resolver afectando </w:t>
      </w:r>
      <w:r w:rsidR="00324181" w:rsidRPr="00CB5F64">
        <w:rPr>
          <w:rFonts w:ascii="Arial" w:hAnsi="Arial" w:cs="Arial"/>
          <w:sz w:val="20"/>
          <w:szCs w:val="20"/>
        </w:rPr>
        <w:t>cuentas “T” o esquemas de mayor. Una vez terminados los registros deberá pasarlas a la hoja de trabajo</w:t>
      </w:r>
      <w:r w:rsidR="00887D3F" w:rsidRPr="00CB5F64">
        <w:rPr>
          <w:rFonts w:ascii="Arial" w:hAnsi="Arial" w:cs="Arial"/>
          <w:sz w:val="20"/>
          <w:szCs w:val="20"/>
        </w:rPr>
        <w:t xml:space="preserve"> en las columnas </w:t>
      </w:r>
      <w:r w:rsidR="00D820B6" w:rsidRPr="00CB5F64">
        <w:rPr>
          <w:rFonts w:ascii="Arial" w:hAnsi="Arial" w:cs="Arial"/>
          <w:sz w:val="20"/>
          <w:szCs w:val="20"/>
        </w:rPr>
        <w:t>“</w:t>
      </w:r>
      <w:r w:rsidR="00887D3F" w:rsidRPr="00CB5F64">
        <w:rPr>
          <w:rFonts w:ascii="Arial" w:hAnsi="Arial" w:cs="Arial"/>
          <w:sz w:val="20"/>
          <w:szCs w:val="20"/>
        </w:rPr>
        <w:t>Movimientos de Diciembre</w:t>
      </w:r>
      <w:r w:rsidR="00D820B6" w:rsidRPr="00CB5F64">
        <w:rPr>
          <w:rFonts w:ascii="Arial" w:hAnsi="Arial" w:cs="Arial"/>
          <w:sz w:val="20"/>
          <w:szCs w:val="20"/>
        </w:rPr>
        <w:t>”.</w:t>
      </w:r>
    </w:p>
    <w:p w:rsidR="00887D3F" w:rsidRPr="00CB5F64" w:rsidRDefault="00887D3F" w:rsidP="00887D3F">
      <w:pPr>
        <w:ind w:left="360"/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 xml:space="preserve">Posteriormente </w:t>
      </w:r>
      <w:r w:rsidR="00324181" w:rsidRPr="00CB5F64">
        <w:rPr>
          <w:rFonts w:ascii="Arial" w:hAnsi="Arial" w:cs="Arial"/>
          <w:sz w:val="20"/>
          <w:szCs w:val="20"/>
        </w:rPr>
        <w:t>deberán determinar</w:t>
      </w:r>
      <w:r w:rsidRPr="00CB5F64">
        <w:rPr>
          <w:rFonts w:ascii="Arial" w:hAnsi="Arial" w:cs="Arial"/>
          <w:sz w:val="20"/>
          <w:szCs w:val="20"/>
        </w:rPr>
        <w:t xml:space="preserve"> los s</w:t>
      </w:r>
      <w:r w:rsidR="00E848F8">
        <w:rPr>
          <w:rFonts w:ascii="Arial" w:hAnsi="Arial" w:cs="Arial"/>
          <w:sz w:val="20"/>
          <w:szCs w:val="20"/>
        </w:rPr>
        <w:t>aldos al 31 de diciembre de 2018</w:t>
      </w:r>
      <w:r w:rsidR="004809D5" w:rsidRPr="00CB5F64">
        <w:rPr>
          <w:rFonts w:ascii="Arial" w:hAnsi="Arial" w:cs="Arial"/>
          <w:sz w:val="20"/>
          <w:szCs w:val="20"/>
        </w:rPr>
        <w:t>, en la hoja de trabajo.</w:t>
      </w:r>
    </w:p>
    <w:p w:rsidR="00FF37B6" w:rsidRPr="00CB5F64" w:rsidRDefault="00FF0369" w:rsidP="00887D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CB5F64">
        <w:rPr>
          <w:rFonts w:ascii="Arial" w:hAnsi="Arial" w:cs="Arial"/>
          <w:b/>
          <w:sz w:val="20"/>
          <w:szCs w:val="20"/>
        </w:rPr>
        <w:t>Ajustes P</w:t>
      </w:r>
      <w:r w:rsidR="004809D5" w:rsidRPr="00CB5F64">
        <w:rPr>
          <w:rFonts w:ascii="Arial" w:hAnsi="Arial" w:cs="Arial"/>
          <w:b/>
          <w:sz w:val="20"/>
          <w:szCs w:val="20"/>
        </w:rPr>
        <w:t>revios al cierre del e</w:t>
      </w:r>
      <w:r w:rsidRPr="00CB5F64">
        <w:rPr>
          <w:rFonts w:ascii="Arial" w:hAnsi="Arial" w:cs="Arial"/>
          <w:b/>
          <w:sz w:val="20"/>
          <w:szCs w:val="20"/>
        </w:rPr>
        <w:t>jercicio.</w:t>
      </w:r>
    </w:p>
    <w:p w:rsidR="00887D3F" w:rsidRPr="00CB5F64" w:rsidRDefault="00887D3F" w:rsidP="00887D3F">
      <w:pPr>
        <w:ind w:left="360"/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 xml:space="preserve">Ya obtenidos los saldos al 31 de diciembre </w:t>
      </w:r>
      <w:r w:rsidR="00E848F8">
        <w:rPr>
          <w:rFonts w:ascii="Arial" w:hAnsi="Arial" w:cs="Arial"/>
          <w:sz w:val="20"/>
          <w:szCs w:val="20"/>
        </w:rPr>
        <w:t>de 2018</w:t>
      </w:r>
      <w:r w:rsidR="00D820B6" w:rsidRPr="00CB5F64">
        <w:rPr>
          <w:rFonts w:ascii="Arial" w:hAnsi="Arial" w:cs="Arial"/>
          <w:sz w:val="20"/>
          <w:szCs w:val="20"/>
        </w:rPr>
        <w:t xml:space="preserve"> se procederá a registrar</w:t>
      </w:r>
      <w:r w:rsidRPr="00CB5F64">
        <w:rPr>
          <w:rFonts w:ascii="Arial" w:hAnsi="Arial" w:cs="Arial"/>
          <w:sz w:val="20"/>
          <w:szCs w:val="20"/>
        </w:rPr>
        <w:t xml:space="preserve"> los ajustes p</w:t>
      </w:r>
      <w:r w:rsidR="004809D5" w:rsidRPr="00CB5F64">
        <w:rPr>
          <w:rFonts w:ascii="Arial" w:hAnsi="Arial" w:cs="Arial"/>
          <w:sz w:val="20"/>
          <w:szCs w:val="20"/>
        </w:rPr>
        <w:t xml:space="preserve">revios al cierre del ejercicio, en cuentas “T”. Una vez terminados los registros deberán pasarlos a la hoja de trabajo. </w:t>
      </w:r>
    </w:p>
    <w:p w:rsidR="00887D3F" w:rsidRPr="00CB5F64" w:rsidRDefault="004809D5" w:rsidP="00887D3F">
      <w:pPr>
        <w:ind w:left="360"/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>Posteriormente deberán determinar los saldos ajus</w:t>
      </w:r>
      <w:r w:rsidR="00E848F8">
        <w:rPr>
          <w:rFonts w:ascii="Arial" w:hAnsi="Arial" w:cs="Arial"/>
          <w:sz w:val="20"/>
          <w:szCs w:val="20"/>
        </w:rPr>
        <w:t>tados al 31 de diciembre de 2018</w:t>
      </w:r>
      <w:r w:rsidRPr="00CB5F64">
        <w:rPr>
          <w:rFonts w:ascii="Arial" w:hAnsi="Arial" w:cs="Arial"/>
          <w:sz w:val="20"/>
          <w:szCs w:val="20"/>
        </w:rPr>
        <w:t>, en la hoja de trabajo.</w:t>
      </w:r>
    </w:p>
    <w:p w:rsidR="00FF37B6" w:rsidRPr="00CB5F64" w:rsidRDefault="00FF0369" w:rsidP="0085764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CB5F64">
        <w:rPr>
          <w:rFonts w:ascii="Arial" w:hAnsi="Arial" w:cs="Arial"/>
          <w:b/>
          <w:sz w:val="20"/>
          <w:szCs w:val="20"/>
        </w:rPr>
        <w:t>Estados Financieros.</w:t>
      </w:r>
    </w:p>
    <w:p w:rsidR="00887D3F" w:rsidRPr="00CB5F64" w:rsidRDefault="00887D3F" w:rsidP="00887D3F">
      <w:pPr>
        <w:ind w:left="360"/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>Den</w:t>
      </w:r>
      <w:r w:rsidR="004809D5" w:rsidRPr="00CB5F64">
        <w:rPr>
          <w:rFonts w:ascii="Arial" w:hAnsi="Arial" w:cs="Arial"/>
          <w:sz w:val="20"/>
          <w:szCs w:val="20"/>
        </w:rPr>
        <w:t xml:space="preserve">tro de la misma hoja de trabajo </w:t>
      </w:r>
      <w:r w:rsidRPr="00CB5F64">
        <w:rPr>
          <w:rFonts w:ascii="Arial" w:hAnsi="Arial" w:cs="Arial"/>
          <w:sz w:val="20"/>
          <w:szCs w:val="20"/>
        </w:rPr>
        <w:t>efectuar los 2 estados financieros que se solicitan.</w:t>
      </w:r>
    </w:p>
    <w:p w:rsidR="00FF37B6" w:rsidRPr="00CB5F64" w:rsidRDefault="00FF0369" w:rsidP="0085764F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CB5F64">
        <w:rPr>
          <w:rFonts w:ascii="Arial" w:hAnsi="Arial" w:cs="Arial"/>
          <w:b/>
          <w:sz w:val="20"/>
          <w:szCs w:val="20"/>
        </w:rPr>
        <w:t>Cierre del ejercicio.</w:t>
      </w:r>
    </w:p>
    <w:p w:rsidR="007F6671" w:rsidRPr="00CB5F64" w:rsidRDefault="004809D5" w:rsidP="004809D5">
      <w:pPr>
        <w:ind w:left="360"/>
        <w:jc w:val="both"/>
        <w:rPr>
          <w:rFonts w:ascii="Arial" w:hAnsi="Arial" w:cs="Arial"/>
          <w:sz w:val="20"/>
          <w:szCs w:val="20"/>
        </w:rPr>
      </w:pPr>
      <w:r w:rsidRPr="00CB5F64">
        <w:rPr>
          <w:rFonts w:ascii="Arial" w:hAnsi="Arial" w:cs="Arial"/>
          <w:sz w:val="20"/>
          <w:szCs w:val="20"/>
        </w:rPr>
        <w:t>En las cuentas “T” realice el</w:t>
      </w:r>
      <w:r w:rsidR="00887D3F" w:rsidRPr="00CB5F64">
        <w:rPr>
          <w:rFonts w:ascii="Arial" w:hAnsi="Arial" w:cs="Arial"/>
          <w:sz w:val="20"/>
          <w:szCs w:val="20"/>
        </w:rPr>
        <w:t xml:space="preserve"> cierre</w:t>
      </w:r>
      <w:r w:rsidRPr="00CB5F64">
        <w:rPr>
          <w:rFonts w:ascii="Arial" w:hAnsi="Arial" w:cs="Arial"/>
          <w:sz w:val="20"/>
          <w:szCs w:val="20"/>
        </w:rPr>
        <w:t xml:space="preserve"> presupuestal y contable </w:t>
      </w:r>
      <w:r w:rsidR="00887D3F" w:rsidRPr="00CB5F64">
        <w:rPr>
          <w:rFonts w:ascii="Arial" w:hAnsi="Arial" w:cs="Arial"/>
          <w:sz w:val="20"/>
          <w:szCs w:val="20"/>
        </w:rPr>
        <w:t xml:space="preserve">que corresponda para determinar el </w:t>
      </w:r>
      <w:r w:rsidRPr="00CB5F64">
        <w:rPr>
          <w:rFonts w:ascii="Arial" w:hAnsi="Arial" w:cs="Arial"/>
          <w:sz w:val="20"/>
          <w:szCs w:val="20"/>
        </w:rPr>
        <w:t xml:space="preserve">superávit o déficit presupuestal que corresponda, </w:t>
      </w:r>
      <w:r w:rsidR="00887D3F" w:rsidRPr="00CB5F64">
        <w:rPr>
          <w:rFonts w:ascii="Arial" w:hAnsi="Arial" w:cs="Arial"/>
          <w:sz w:val="20"/>
          <w:szCs w:val="20"/>
        </w:rPr>
        <w:t xml:space="preserve">así como el </w:t>
      </w:r>
      <w:r w:rsidRPr="00CB5F64">
        <w:rPr>
          <w:rFonts w:ascii="Arial" w:hAnsi="Arial" w:cs="Arial"/>
          <w:sz w:val="20"/>
          <w:szCs w:val="20"/>
        </w:rPr>
        <w:t>ahorro/desahorro del ejercicio.</w:t>
      </w:r>
    </w:p>
    <w:sectPr w:rsidR="007F6671" w:rsidRPr="00CB5F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2B" w:rsidRDefault="008B5F2B" w:rsidP="0085764F">
      <w:pPr>
        <w:spacing w:after="0" w:line="240" w:lineRule="auto"/>
      </w:pPr>
      <w:r>
        <w:separator/>
      </w:r>
    </w:p>
  </w:endnote>
  <w:endnote w:type="continuationSeparator" w:id="0">
    <w:p w:rsidR="008B5F2B" w:rsidRDefault="008B5F2B" w:rsidP="0085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2B" w:rsidRDefault="008B5F2B" w:rsidP="0085764F">
      <w:pPr>
        <w:spacing w:after="0" w:line="240" w:lineRule="auto"/>
      </w:pPr>
      <w:r>
        <w:separator/>
      </w:r>
    </w:p>
  </w:footnote>
  <w:footnote w:type="continuationSeparator" w:id="0">
    <w:p w:rsidR="008B5F2B" w:rsidRDefault="008B5F2B" w:rsidP="0085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6" w:rsidRPr="00CB5F64" w:rsidRDefault="00B92381" w:rsidP="00E54796">
    <w:pPr>
      <w:contextualSpacing/>
      <w:jc w:val="center"/>
      <w:rPr>
        <w:rFonts w:ascii="Arial" w:hAnsi="Arial" w:cs="Arial"/>
        <w:b/>
        <w:sz w:val="28"/>
        <w:szCs w:val="24"/>
      </w:rPr>
    </w:pPr>
    <w:r w:rsidRPr="00CB5F64">
      <w:rPr>
        <w:rFonts w:ascii="Arial" w:hAnsi="Arial" w:cs="Arial"/>
        <w:noProof/>
        <w:sz w:val="24"/>
        <w:lang w:eastAsia="es-MX"/>
      </w:rPr>
      <w:drawing>
        <wp:anchor distT="0" distB="0" distL="114300" distR="114300" simplePos="0" relativeHeight="251658240" behindDoc="1" locked="0" layoutInCell="1" allowOverlap="1" wp14:anchorId="044B1776" wp14:editId="4FCFB925">
          <wp:simplePos x="0" y="0"/>
          <wp:positionH relativeFrom="column">
            <wp:posOffset>5025390</wp:posOffset>
          </wp:positionH>
          <wp:positionV relativeFrom="paragraph">
            <wp:posOffset>-40006</wp:posOffset>
          </wp:positionV>
          <wp:extent cx="1379012" cy="535305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628" cy="54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F64">
      <w:rPr>
        <w:rFonts w:ascii="Arial" w:hAnsi="Arial" w:cs="Arial"/>
        <w:b/>
        <w:sz w:val="28"/>
        <w:szCs w:val="24"/>
      </w:rPr>
      <w:t>TALLER:</w:t>
    </w:r>
  </w:p>
  <w:p w:rsidR="00B92381" w:rsidRPr="00CB5F64" w:rsidRDefault="00B92381" w:rsidP="00E54796">
    <w:pPr>
      <w:contextualSpacing/>
      <w:jc w:val="center"/>
      <w:rPr>
        <w:rFonts w:ascii="Arial" w:hAnsi="Arial" w:cs="Arial"/>
        <w:b/>
        <w:sz w:val="28"/>
        <w:szCs w:val="24"/>
      </w:rPr>
    </w:pPr>
    <w:r w:rsidRPr="00CB5F64">
      <w:rPr>
        <w:rFonts w:ascii="Arial" w:hAnsi="Arial" w:cs="Arial"/>
        <w:b/>
        <w:sz w:val="28"/>
        <w:szCs w:val="24"/>
      </w:rPr>
      <w:t>CONTABILIDAD ARMONIZADA, OPERACIÓN</w:t>
    </w:r>
  </w:p>
  <w:p w:rsidR="0085764F" w:rsidRPr="00CB5F64" w:rsidRDefault="00B92381" w:rsidP="00E54796">
    <w:pPr>
      <w:contextualSpacing/>
      <w:jc w:val="center"/>
      <w:rPr>
        <w:rFonts w:ascii="Arial" w:hAnsi="Arial" w:cs="Arial"/>
        <w:b/>
        <w:sz w:val="24"/>
        <w:szCs w:val="24"/>
      </w:rPr>
    </w:pPr>
    <w:r w:rsidRPr="00CB5F64">
      <w:rPr>
        <w:rFonts w:ascii="Arial" w:hAnsi="Arial" w:cs="Arial"/>
        <w:b/>
        <w:sz w:val="28"/>
        <w:szCs w:val="24"/>
      </w:rPr>
      <w:t>Y CIERRE DEL EJERCICIO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4511"/>
    <w:multiLevelType w:val="hybridMultilevel"/>
    <w:tmpl w:val="B10E1616"/>
    <w:lvl w:ilvl="0" w:tplc="C27A5B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03610A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6CC726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06A9BB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E7EF5B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320AE7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0F546EE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9588EB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416CD1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116FF"/>
    <w:multiLevelType w:val="hybridMultilevel"/>
    <w:tmpl w:val="C114C6BA"/>
    <w:lvl w:ilvl="0" w:tplc="4ABEE0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2905D2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26366C7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8FCF41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C5A9F9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7D6468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5AC51A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558EE3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9743A1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3F"/>
    <w:rsid w:val="00085A8D"/>
    <w:rsid w:val="00097CAD"/>
    <w:rsid w:val="001867EF"/>
    <w:rsid w:val="001F290E"/>
    <w:rsid w:val="00200CF7"/>
    <w:rsid w:val="00292E3F"/>
    <w:rsid w:val="00324181"/>
    <w:rsid w:val="003929ED"/>
    <w:rsid w:val="003F3C25"/>
    <w:rsid w:val="00403F76"/>
    <w:rsid w:val="004809D5"/>
    <w:rsid w:val="004B7F77"/>
    <w:rsid w:val="005F062B"/>
    <w:rsid w:val="00767050"/>
    <w:rsid w:val="007F6671"/>
    <w:rsid w:val="00830F1A"/>
    <w:rsid w:val="0085764F"/>
    <w:rsid w:val="00887D3F"/>
    <w:rsid w:val="008B5F2B"/>
    <w:rsid w:val="00A43DFF"/>
    <w:rsid w:val="00A76049"/>
    <w:rsid w:val="00B92381"/>
    <w:rsid w:val="00C42FB7"/>
    <w:rsid w:val="00CB5F64"/>
    <w:rsid w:val="00D820B6"/>
    <w:rsid w:val="00DE58E4"/>
    <w:rsid w:val="00E54796"/>
    <w:rsid w:val="00E848F8"/>
    <w:rsid w:val="00EB6559"/>
    <w:rsid w:val="00FF0369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DEC93-2718-4A76-9A51-28296960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7D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64F"/>
  </w:style>
  <w:style w:type="paragraph" w:styleId="Piedepgina">
    <w:name w:val="footer"/>
    <w:basedOn w:val="Normal"/>
    <w:link w:val="PiedepginaCar"/>
    <w:uiPriority w:val="99"/>
    <w:unhideWhenUsed/>
    <w:rsid w:val="008576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64F"/>
  </w:style>
  <w:style w:type="table" w:styleId="Tablaconcuadrcula">
    <w:name w:val="Table Grid"/>
    <w:basedOn w:val="Tablanormal"/>
    <w:uiPriority w:val="39"/>
    <w:rsid w:val="00B9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ocastellanoss</dc:creator>
  <cp:keywords/>
  <dc:description/>
  <cp:lastModifiedBy>Hewlett-Packard Company</cp:lastModifiedBy>
  <cp:revision>5</cp:revision>
  <dcterms:created xsi:type="dcterms:W3CDTF">2017-10-13T15:05:00Z</dcterms:created>
  <dcterms:modified xsi:type="dcterms:W3CDTF">2018-06-06T19:40:00Z</dcterms:modified>
</cp:coreProperties>
</file>