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w:t>
      </w:r>
      <w:r w:rsidR="00C31D30">
        <w:rPr>
          <w:rFonts w:ascii="Arial" w:hAnsi="Arial" w:cs="Arial"/>
          <w:b/>
          <w:sz w:val="24"/>
          <w:szCs w:val="24"/>
        </w:rPr>
        <w:t>S</w:t>
      </w:r>
      <w:r>
        <w:rPr>
          <w:rFonts w:ascii="Arial" w:hAnsi="Arial" w:cs="Arial"/>
          <w:b/>
          <w:sz w:val="24"/>
          <w:szCs w:val="24"/>
        </w:rPr>
        <w:t>C-0</w:t>
      </w:r>
      <w:r w:rsidR="00C31D30">
        <w:rPr>
          <w:rFonts w:ascii="Arial" w:hAnsi="Arial" w:cs="Arial"/>
          <w:b/>
          <w:sz w:val="24"/>
          <w:szCs w:val="24"/>
        </w:rPr>
        <w:t>1</w:t>
      </w:r>
      <w:r w:rsidR="00B11A54">
        <w:rPr>
          <w:rFonts w:ascii="Arial" w:hAnsi="Arial" w:cs="Arial"/>
          <w:b/>
          <w:sz w:val="24"/>
          <w:szCs w:val="24"/>
        </w:rPr>
        <w:t>5</w:t>
      </w:r>
      <w:r w:rsidR="00D85B0A">
        <w:rPr>
          <w:rFonts w:ascii="Arial" w:hAnsi="Arial" w:cs="Arial"/>
          <w:b/>
          <w:sz w:val="24"/>
          <w:szCs w:val="24"/>
        </w:rPr>
        <w:t>-2019</w:t>
      </w:r>
      <w:r>
        <w:rPr>
          <w:rFonts w:ascii="Arial" w:hAnsi="Arial" w:cs="Arial"/>
          <w:b/>
          <w:sz w:val="24"/>
          <w:szCs w:val="24"/>
        </w:rPr>
        <w:t xml:space="preserve"> </w:t>
      </w:r>
    </w:p>
    <w:p w:rsidR="005F0814" w:rsidRDefault="00AD53E6" w:rsidP="00685C70">
      <w:pPr>
        <w:spacing w:after="0" w:line="240" w:lineRule="auto"/>
        <w:jc w:val="center"/>
        <w:rPr>
          <w:rFonts w:ascii="Arial" w:hAnsi="Arial" w:cs="Arial"/>
          <w:b/>
          <w:sz w:val="24"/>
          <w:szCs w:val="24"/>
        </w:rPr>
      </w:pPr>
      <w:r w:rsidRPr="00B11A54">
        <w:rPr>
          <w:rFonts w:ascii="Arial" w:hAnsi="Arial" w:cs="Arial"/>
          <w:b/>
          <w:sz w:val="24"/>
          <w:szCs w:val="24"/>
        </w:rPr>
        <w:t>“</w:t>
      </w:r>
      <w:r w:rsidR="00B11A54" w:rsidRPr="00B11A54">
        <w:rPr>
          <w:rFonts w:ascii="Arial" w:hAnsi="Arial" w:cs="Arial"/>
          <w:b/>
          <w:sz w:val="24"/>
          <w:szCs w:val="24"/>
        </w:rPr>
        <w:t>ADQUISICIÓN DE SERVICIO DE FUMIGACIÓN PARA EL INTERIOR Y EXTERIOR DE LAS INSTALACIONES DE LA ASEJ</w:t>
      </w:r>
      <w:r w:rsidRPr="00B11A54">
        <w:rPr>
          <w:rFonts w:ascii="Arial" w:hAnsi="Arial" w:cs="Arial"/>
          <w:b/>
          <w:sz w:val="24"/>
          <w:szCs w:val="24"/>
        </w:rPr>
        <w:t>”</w:t>
      </w:r>
    </w:p>
    <w:p w:rsidR="00B11A54" w:rsidRPr="00B11A54" w:rsidRDefault="00B11A54" w:rsidP="00685C70">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0C2DBD" w:rsidRPr="00463F3F" w:rsidTr="00753309">
        <w:trPr>
          <w:trHeight w:val="889"/>
        </w:trPr>
        <w:tc>
          <w:tcPr>
            <w:tcW w:w="2972" w:type="dxa"/>
            <w:shd w:val="clear" w:color="auto" w:fill="BFBFBF" w:themeFill="background1" w:themeFillShade="BF"/>
            <w:vAlign w:val="center"/>
          </w:tcPr>
          <w:p w:rsidR="000C2DBD" w:rsidRDefault="000C2DBD" w:rsidP="000C2DBD">
            <w:pPr>
              <w:jc w:val="center"/>
              <w:rPr>
                <w:rFonts w:ascii="Arial" w:hAnsi="Arial" w:cs="Arial"/>
                <w:b/>
                <w:sz w:val="20"/>
                <w:szCs w:val="20"/>
              </w:rPr>
            </w:pPr>
            <w:r>
              <w:rPr>
                <w:rFonts w:ascii="Arial" w:hAnsi="Arial" w:cs="Arial"/>
                <w:b/>
                <w:sz w:val="20"/>
                <w:szCs w:val="20"/>
              </w:rPr>
              <w:t>Concepto</w:t>
            </w:r>
          </w:p>
          <w:p w:rsidR="000C2DBD" w:rsidRPr="00463F3F" w:rsidRDefault="000C2DBD" w:rsidP="000C2DBD">
            <w:pPr>
              <w:jc w:val="center"/>
              <w:rPr>
                <w:rFonts w:ascii="Arial" w:hAnsi="Arial" w:cs="Arial"/>
                <w:b/>
                <w:sz w:val="20"/>
                <w:szCs w:val="20"/>
              </w:rPr>
            </w:pPr>
            <w:r>
              <w:rPr>
                <w:rFonts w:ascii="Arial" w:hAnsi="Arial" w:cs="Arial"/>
                <w:b/>
                <w:sz w:val="20"/>
                <w:szCs w:val="20"/>
              </w:rPr>
              <w:t>(descripción)</w:t>
            </w:r>
          </w:p>
        </w:tc>
        <w:tc>
          <w:tcPr>
            <w:tcW w:w="1134" w:type="dxa"/>
            <w:shd w:val="clear" w:color="auto" w:fill="BFBFBF" w:themeFill="background1" w:themeFillShade="BF"/>
            <w:vAlign w:val="center"/>
          </w:tcPr>
          <w:p w:rsidR="000C2DBD" w:rsidRPr="00463F3F" w:rsidRDefault="000C2DBD" w:rsidP="000C2DBD">
            <w:pPr>
              <w:jc w:val="center"/>
              <w:rPr>
                <w:rFonts w:ascii="Arial" w:hAnsi="Arial" w:cs="Arial"/>
                <w:b/>
                <w:sz w:val="20"/>
                <w:szCs w:val="20"/>
              </w:rPr>
            </w:pPr>
            <w:r>
              <w:rPr>
                <w:rFonts w:ascii="Arial" w:hAnsi="Arial" w:cs="Arial"/>
                <w:b/>
                <w:sz w:val="20"/>
                <w:szCs w:val="20"/>
              </w:rPr>
              <w:t>Cantidad</w:t>
            </w:r>
          </w:p>
        </w:tc>
        <w:tc>
          <w:tcPr>
            <w:tcW w:w="1701" w:type="dxa"/>
            <w:shd w:val="clear" w:color="auto" w:fill="BFBFBF" w:themeFill="background1" w:themeFillShade="BF"/>
            <w:vAlign w:val="center"/>
          </w:tcPr>
          <w:p w:rsidR="000C2DBD" w:rsidRPr="000C2DBD" w:rsidRDefault="000C2DBD" w:rsidP="000C2DBD">
            <w:pPr>
              <w:jc w:val="both"/>
              <w:rPr>
                <w:b/>
              </w:rPr>
            </w:pPr>
            <w:r w:rsidRPr="000C2DBD">
              <w:rPr>
                <w:b/>
              </w:rPr>
              <w:t>Precio unitario antes de impuestos</w:t>
            </w:r>
          </w:p>
        </w:tc>
        <w:tc>
          <w:tcPr>
            <w:tcW w:w="1389" w:type="dxa"/>
            <w:shd w:val="clear" w:color="auto" w:fill="BFBFBF" w:themeFill="background1" w:themeFillShade="BF"/>
            <w:vAlign w:val="center"/>
          </w:tcPr>
          <w:p w:rsidR="000C2DBD" w:rsidRPr="000C2DBD" w:rsidRDefault="000C2DBD" w:rsidP="000C2DBD">
            <w:pPr>
              <w:jc w:val="both"/>
              <w:rPr>
                <w:b/>
              </w:rPr>
            </w:pPr>
            <w:r w:rsidRPr="000C2DBD">
              <w:rPr>
                <w:b/>
              </w:rPr>
              <w:t>Impuestos desglosados</w:t>
            </w:r>
          </w:p>
        </w:tc>
        <w:tc>
          <w:tcPr>
            <w:tcW w:w="1791" w:type="dxa"/>
            <w:shd w:val="clear" w:color="auto" w:fill="BFBFBF" w:themeFill="background1" w:themeFillShade="BF"/>
            <w:vAlign w:val="center"/>
          </w:tcPr>
          <w:p w:rsidR="000C2DBD" w:rsidRPr="000C2DBD" w:rsidRDefault="000C2DBD" w:rsidP="000C2DBD">
            <w:pPr>
              <w:jc w:val="both"/>
              <w:rPr>
                <w:b/>
              </w:rPr>
            </w:pPr>
            <w:r w:rsidRPr="000C2DBD">
              <w:rPr>
                <w:b/>
              </w:rPr>
              <w:t>Total con impuestos incluidos</w:t>
            </w:r>
            <w:r>
              <w:rPr>
                <w:b/>
              </w:rPr>
              <w:t xml:space="preserve"> por las 6 aplicaciones</w:t>
            </w:r>
          </w:p>
        </w:tc>
      </w:tr>
      <w:tr w:rsidR="00B11A54" w:rsidRPr="00463F3F" w:rsidTr="00753309">
        <w:trPr>
          <w:trHeight w:val="1222"/>
        </w:trPr>
        <w:tc>
          <w:tcPr>
            <w:tcW w:w="2972" w:type="dxa"/>
            <w:vAlign w:val="center"/>
          </w:tcPr>
          <w:p w:rsidR="00DE779D" w:rsidRDefault="00A9643F" w:rsidP="000D0CF4">
            <w:pPr>
              <w:jc w:val="center"/>
              <w:rPr>
                <w:rFonts w:ascii="Arial" w:hAnsi="Arial" w:cs="Arial"/>
                <w:b/>
              </w:rPr>
            </w:pPr>
            <w:r w:rsidRPr="0001578D">
              <w:rPr>
                <w:rFonts w:ascii="Arial" w:hAnsi="Arial" w:cs="Arial"/>
                <w:b/>
              </w:rPr>
              <w:t>6 Aplicaciones Bimestrales</w:t>
            </w:r>
          </w:p>
          <w:p w:rsidR="00B11A54" w:rsidRPr="00463F3F" w:rsidRDefault="00A9643F" w:rsidP="000D0CF4">
            <w:pPr>
              <w:jc w:val="center"/>
              <w:rPr>
                <w:rFonts w:ascii="Arial" w:hAnsi="Arial" w:cs="Arial"/>
                <w:sz w:val="20"/>
                <w:szCs w:val="20"/>
              </w:rPr>
            </w:pPr>
            <w:r w:rsidRPr="0001578D">
              <w:rPr>
                <w:rFonts w:ascii="Arial" w:hAnsi="Arial" w:cs="Arial"/>
                <w:b/>
              </w:rPr>
              <w:t xml:space="preserve"> (servicio menor)</w:t>
            </w:r>
          </w:p>
        </w:tc>
        <w:tc>
          <w:tcPr>
            <w:tcW w:w="1134" w:type="dxa"/>
            <w:vAlign w:val="center"/>
          </w:tcPr>
          <w:p w:rsidR="00B11A54" w:rsidRPr="00463F3F" w:rsidRDefault="000C2DBD" w:rsidP="000D0CF4">
            <w:pPr>
              <w:jc w:val="center"/>
              <w:rPr>
                <w:rFonts w:ascii="Arial" w:hAnsi="Arial" w:cs="Arial"/>
                <w:sz w:val="20"/>
                <w:szCs w:val="20"/>
              </w:rPr>
            </w:pPr>
            <w:r>
              <w:rPr>
                <w:rFonts w:ascii="Arial" w:hAnsi="Arial" w:cs="Arial"/>
                <w:sz w:val="20"/>
                <w:szCs w:val="20"/>
              </w:rPr>
              <w:t>6</w:t>
            </w:r>
          </w:p>
        </w:tc>
        <w:tc>
          <w:tcPr>
            <w:tcW w:w="1701" w:type="dxa"/>
            <w:vAlign w:val="center"/>
          </w:tcPr>
          <w:p w:rsidR="00B11A54" w:rsidRPr="00F25258" w:rsidRDefault="00B11A54" w:rsidP="000D0CF4">
            <w:pPr>
              <w:rPr>
                <w:rFonts w:ascii="Arial" w:hAnsi="Arial" w:cs="Arial"/>
                <w:sz w:val="20"/>
                <w:szCs w:val="20"/>
              </w:rPr>
            </w:pPr>
            <w:r w:rsidRPr="00F25258">
              <w:rPr>
                <w:rFonts w:ascii="Arial" w:hAnsi="Arial" w:cs="Arial"/>
                <w:sz w:val="20"/>
                <w:szCs w:val="20"/>
              </w:rPr>
              <w:t>$</w:t>
            </w:r>
          </w:p>
        </w:tc>
        <w:tc>
          <w:tcPr>
            <w:tcW w:w="1389" w:type="dxa"/>
            <w:vAlign w:val="center"/>
          </w:tcPr>
          <w:p w:rsidR="00B11A54" w:rsidRDefault="00B11A54" w:rsidP="000D0CF4">
            <w:r w:rsidRPr="004E1D1B">
              <w:rPr>
                <w:rFonts w:ascii="Arial" w:hAnsi="Arial" w:cs="Arial"/>
                <w:sz w:val="20"/>
                <w:szCs w:val="20"/>
              </w:rPr>
              <w:t>$</w:t>
            </w:r>
          </w:p>
        </w:tc>
        <w:tc>
          <w:tcPr>
            <w:tcW w:w="1791" w:type="dxa"/>
            <w:vAlign w:val="center"/>
          </w:tcPr>
          <w:p w:rsidR="00B11A54" w:rsidRDefault="00B11A54" w:rsidP="000D0CF4">
            <w:r w:rsidRPr="00664057">
              <w:rPr>
                <w:rFonts w:ascii="Arial" w:hAnsi="Arial" w:cs="Arial"/>
                <w:sz w:val="20"/>
                <w:szCs w:val="20"/>
              </w:rPr>
              <w:t>$</w:t>
            </w:r>
          </w:p>
        </w:tc>
      </w:tr>
      <w:tr w:rsidR="00B11A54" w:rsidRPr="00463F3F" w:rsidTr="00753309">
        <w:trPr>
          <w:trHeight w:val="984"/>
        </w:trPr>
        <w:tc>
          <w:tcPr>
            <w:tcW w:w="2972" w:type="dxa"/>
            <w:vAlign w:val="center"/>
          </w:tcPr>
          <w:p w:rsidR="00DE779D" w:rsidRDefault="000C2DBD" w:rsidP="000D0CF4">
            <w:pPr>
              <w:jc w:val="center"/>
              <w:rPr>
                <w:rFonts w:ascii="Arial" w:hAnsi="Arial" w:cs="Arial"/>
                <w:b/>
              </w:rPr>
            </w:pPr>
            <w:r w:rsidRPr="0001578D">
              <w:rPr>
                <w:rFonts w:ascii="Arial" w:hAnsi="Arial" w:cs="Arial"/>
                <w:b/>
              </w:rPr>
              <w:t xml:space="preserve">6 Aplicaciones Bimestrales </w:t>
            </w:r>
          </w:p>
          <w:p w:rsidR="00B11A54" w:rsidRPr="00463F3F" w:rsidRDefault="000C2DBD" w:rsidP="000D0CF4">
            <w:pPr>
              <w:jc w:val="center"/>
              <w:rPr>
                <w:rFonts w:ascii="Arial" w:hAnsi="Arial" w:cs="Arial"/>
                <w:sz w:val="20"/>
                <w:szCs w:val="20"/>
              </w:rPr>
            </w:pPr>
            <w:r w:rsidRPr="0001578D">
              <w:rPr>
                <w:rFonts w:ascii="Arial" w:hAnsi="Arial" w:cs="Arial"/>
                <w:b/>
              </w:rPr>
              <w:t>(servicio mayor)</w:t>
            </w:r>
          </w:p>
        </w:tc>
        <w:tc>
          <w:tcPr>
            <w:tcW w:w="1134" w:type="dxa"/>
            <w:vAlign w:val="center"/>
          </w:tcPr>
          <w:p w:rsidR="00B11A54" w:rsidRPr="00463F3F" w:rsidRDefault="000C2DBD" w:rsidP="000D0CF4">
            <w:pPr>
              <w:jc w:val="center"/>
              <w:rPr>
                <w:rFonts w:ascii="Arial" w:hAnsi="Arial" w:cs="Arial"/>
                <w:sz w:val="20"/>
                <w:szCs w:val="20"/>
              </w:rPr>
            </w:pPr>
            <w:r>
              <w:rPr>
                <w:rFonts w:ascii="Arial" w:hAnsi="Arial" w:cs="Arial"/>
                <w:sz w:val="20"/>
                <w:szCs w:val="20"/>
              </w:rPr>
              <w:t>6</w:t>
            </w:r>
          </w:p>
        </w:tc>
        <w:tc>
          <w:tcPr>
            <w:tcW w:w="1701" w:type="dxa"/>
            <w:vAlign w:val="center"/>
          </w:tcPr>
          <w:p w:rsidR="00B11A54" w:rsidRDefault="00B11A54" w:rsidP="000D0CF4">
            <w:r w:rsidRPr="00610FF7">
              <w:rPr>
                <w:rFonts w:ascii="Arial" w:hAnsi="Arial" w:cs="Arial"/>
                <w:sz w:val="20"/>
                <w:szCs w:val="20"/>
              </w:rPr>
              <w:t>$</w:t>
            </w:r>
          </w:p>
        </w:tc>
        <w:tc>
          <w:tcPr>
            <w:tcW w:w="1389" w:type="dxa"/>
            <w:vAlign w:val="center"/>
          </w:tcPr>
          <w:p w:rsidR="00B11A54" w:rsidRDefault="00B11A54" w:rsidP="000D0CF4">
            <w:r w:rsidRPr="004E1D1B">
              <w:rPr>
                <w:rFonts w:ascii="Arial" w:hAnsi="Arial" w:cs="Arial"/>
                <w:sz w:val="20"/>
                <w:szCs w:val="20"/>
              </w:rPr>
              <w:t>$</w:t>
            </w:r>
          </w:p>
        </w:tc>
        <w:tc>
          <w:tcPr>
            <w:tcW w:w="1791" w:type="dxa"/>
            <w:vAlign w:val="center"/>
          </w:tcPr>
          <w:p w:rsidR="00B11A54" w:rsidRDefault="00B11A54" w:rsidP="000D0CF4">
            <w:r w:rsidRPr="00664057">
              <w:rPr>
                <w:rFonts w:ascii="Arial" w:hAnsi="Arial" w:cs="Arial"/>
                <w:sz w:val="20"/>
                <w:szCs w:val="20"/>
              </w:rPr>
              <w:t>$</w:t>
            </w:r>
          </w:p>
        </w:tc>
      </w:tr>
      <w:tr w:rsidR="001A3E1F" w:rsidRPr="00463F3F" w:rsidTr="00D06244">
        <w:trPr>
          <w:trHeight w:val="686"/>
        </w:trPr>
        <w:tc>
          <w:tcPr>
            <w:tcW w:w="8987" w:type="dxa"/>
            <w:gridSpan w:val="5"/>
            <w:shd w:val="clear" w:color="auto" w:fill="auto"/>
            <w:vAlign w:val="center"/>
          </w:tcPr>
          <w:p w:rsidR="001A3E1F" w:rsidRPr="0038734E" w:rsidRDefault="001A3E1F" w:rsidP="0038734E">
            <w:pPr>
              <w:rPr>
                <w:rFonts w:ascii="Arial" w:hAnsi="Arial" w:cs="Arial"/>
                <w:b/>
                <w:sz w:val="20"/>
                <w:szCs w:val="20"/>
              </w:rPr>
            </w:pPr>
            <w:r w:rsidRPr="0038734E">
              <w:rPr>
                <w:rFonts w:ascii="Arial" w:hAnsi="Arial" w:cs="Arial"/>
                <w:b/>
              </w:rPr>
              <w:t xml:space="preserve">Ambas aplicaciones </w:t>
            </w:r>
            <w:r w:rsidR="0038734E">
              <w:rPr>
                <w:rFonts w:ascii="Arial" w:hAnsi="Arial" w:cs="Arial"/>
                <w:b/>
              </w:rPr>
              <w:t xml:space="preserve">deben </w:t>
            </w:r>
            <w:r w:rsidRPr="0038734E">
              <w:rPr>
                <w:rFonts w:ascii="Arial" w:hAnsi="Arial" w:cs="Arial"/>
                <w:b/>
              </w:rPr>
              <w:t>inclu</w:t>
            </w:r>
            <w:r w:rsidR="0038734E">
              <w:rPr>
                <w:rFonts w:ascii="Arial" w:hAnsi="Arial" w:cs="Arial"/>
                <w:b/>
              </w:rPr>
              <w:t>ir</w:t>
            </w:r>
            <w:r w:rsidRPr="0038734E">
              <w:rPr>
                <w:rFonts w:ascii="Arial" w:hAnsi="Arial" w:cs="Arial"/>
                <w:b/>
              </w:rPr>
              <w:t xml:space="preserve"> el costo de poda de seguri</w:t>
            </w:r>
            <w:r w:rsidR="0038734E">
              <w:rPr>
                <w:rFonts w:ascii="Arial" w:hAnsi="Arial" w:cs="Arial"/>
                <w:b/>
              </w:rPr>
              <w:t>dad y saneamiento fitosanitario.</w:t>
            </w:r>
          </w:p>
        </w:tc>
      </w:tr>
      <w:tr w:rsidR="00B11A54" w:rsidRPr="00463F3F" w:rsidTr="00753309">
        <w:trPr>
          <w:trHeight w:val="889"/>
        </w:trPr>
        <w:tc>
          <w:tcPr>
            <w:tcW w:w="2972" w:type="dxa"/>
            <w:shd w:val="clear" w:color="auto" w:fill="BFBFBF" w:themeFill="background1" w:themeFillShade="BF"/>
            <w:vAlign w:val="center"/>
          </w:tcPr>
          <w:p w:rsidR="00B11A54" w:rsidRPr="00463F3F" w:rsidRDefault="00B11A54" w:rsidP="000D0CF4">
            <w:pPr>
              <w:jc w:val="center"/>
              <w:rPr>
                <w:rFonts w:ascii="Arial" w:hAnsi="Arial" w:cs="Arial"/>
                <w:b/>
                <w:sz w:val="20"/>
                <w:szCs w:val="20"/>
              </w:rPr>
            </w:pPr>
            <w:r w:rsidRPr="00463F3F">
              <w:rPr>
                <w:rFonts w:ascii="Arial" w:hAnsi="Arial" w:cs="Arial"/>
                <w:b/>
                <w:sz w:val="20"/>
                <w:szCs w:val="20"/>
              </w:rPr>
              <w:t>GRAN TOTAL con impuestos incluidos:</w:t>
            </w:r>
          </w:p>
        </w:tc>
        <w:tc>
          <w:tcPr>
            <w:tcW w:w="6015" w:type="dxa"/>
            <w:gridSpan w:val="4"/>
            <w:shd w:val="clear" w:color="auto" w:fill="BFBFBF" w:themeFill="background1" w:themeFillShade="BF"/>
            <w:vAlign w:val="center"/>
          </w:tcPr>
          <w:p w:rsidR="00B11A54" w:rsidRPr="00463F3F" w:rsidRDefault="00B11A54" w:rsidP="000D0CF4">
            <w:pPr>
              <w:jc w:val="center"/>
              <w:rPr>
                <w:rFonts w:ascii="Arial" w:hAnsi="Arial" w:cs="Arial"/>
                <w:b/>
                <w:sz w:val="20"/>
                <w:szCs w:val="20"/>
              </w:rPr>
            </w:pPr>
            <w:r w:rsidRPr="00463F3F">
              <w:rPr>
                <w:rFonts w:ascii="Arial" w:hAnsi="Arial" w:cs="Arial"/>
                <w:b/>
                <w:sz w:val="20"/>
                <w:szCs w:val="20"/>
              </w:rPr>
              <w:t>$__________ (y cantidad en letra)</w:t>
            </w:r>
          </w:p>
        </w:tc>
      </w:tr>
    </w:tbl>
    <w:p w:rsidR="00B11A54" w:rsidRDefault="00B11A54" w:rsidP="00B11A54">
      <w:pPr>
        <w:spacing w:after="0" w:line="240" w:lineRule="auto"/>
        <w:jc w:val="center"/>
        <w:rPr>
          <w:rFonts w:ascii="Arial" w:hAnsi="Arial" w:cs="Arial"/>
          <w:b/>
          <w:sz w:val="24"/>
          <w:szCs w:val="24"/>
        </w:rPr>
      </w:pPr>
    </w:p>
    <w:p w:rsidR="00B11A54" w:rsidRDefault="00B11A54" w:rsidP="00B11A54">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B11A54" w:rsidRPr="00751866" w:rsidRDefault="00B11A54" w:rsidP="00B11A54">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B11A54" w:rsidRPr="008D0649" w:rsidRDefault="00B11A54" w:rsidP="00B11A5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B11A54" w:rsidRPr="008D0649" w:rsidRDefault="00B11A54" w:rsidP="00B11A5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B11A54" w:rsidRPr="008D0649" w:rsidRDefault="00B11A54" w:rsidP="00B11A54">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B11A54" w:rsidRPr="008D0649" w:rsidRDefault="00B11A54" w:rsidP="00B11A54">
      <w:pPr>
        <w:spacing w:after="0" w:line="240" w:lineRule="auto"/>
        <w:jc w:val="both"/>
        <w:rPr>
          <w:rFonts w:ascii="Arial" w:hAnsi="Arial" w:cs="Arial"/>
          <w:sz w:val="24"/>
          <w:szCs w:val="24"/>
        </w:rPr>
      </w:pPr>
    </w:p>
    <w:p w:rsidR="00B11A54" w:rsidRPr="008D0649" w:rsidRDefault="00B11A54" w:rsidP="00B11A54">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B11A54" w:rsidRPr="008D0649" w:rsidRDefault="00B11A54" w:rsidP="00B11A54">
      <w:pPr>
        <w:spacing w:after="0" w:line="240" w:lineRule="auto"/>
        <w:jc w:val="both"/>
        <w:rPr>
          <w:rFonts w:ascii="Arial" w:hAnsi="Arial" w:cs="Arial"/>
          <w:sz w:val="24"/>
          <w:szCs w:val="24"/>
        </w:rPr>
      </w:pPr>
    </w:p>
    <w:p w:rsidR="00B11A54" w:rsidRPr="008D0649" w:rsidRDefault="00B11A54" w:rsidP="00B11A54">
      <w:pPr>
        <w:spacing w:after="0" w:line="240" w:lineRule="auto"/>
        <w:jc w:val="both"/>
        <w:rPr>
          <w:rFonts w:ascii="Arial" w:hAnsi="Arial" w:cs="Arial"/>
          <w:sz w:val="24"/>
          <w:szCs w:val="24"/>
        </w:rPr>
      </w:pPr>
    </w:p>
    <w:p w:rsidR="00B11A54" w:rsidRPr="008D0649" w:rsidRDefault="00B11A54" w:rsidP="00B11A54">
      <w:pPr>
        <w:spacing w:line="240" w:lineRule="auto"/>
        <w:jc w:val="center"/>
        <w:rPr>
          <w:rFonts w:ascii="Arial" w:hAnsi="Arial" w:cs="Arial"/>
          <w:sz w:val="24"/>
          <w:szCs w:val="24"/>
        </w:rPr>
      </w:pPr>
      <w:r w:rsidRPr="008D0649">
        <w:rPr>
          <w:rFonts w:ascii="Arial" w:hAnsi="Arial" w:cs="Arial"/>
          <w:sz w:val="24"/>
          <w:szCs w:val="24"/>
        </w:rPr>
        <w:t>ATENTAMENTE</w:t>
      </w:r>
    </w:p>
    <w:p w:rsidR="00B11A54" w:rsidRPr="008D0649" w:rsidRDefault="00B11A54" w:rsidP="00B11A54">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Pr>
          <w:rFonts w:ascii="Arial" w:hAnsi="Arial" w:cs="Arial"/>
          <w:sz w:val="24"/>
          <w:szCs w:val="24"/>
        </w:rPr>
        <w:t>9</w:t>
      </w:r>
      <w:r w:rsidRPr="008D0649">
        <w:rPr>
          <w:rFonts w:ascii="Arial" w:hAnsi="Arial" w:cs="Arial"/>
          <w:sz w:val="24"/>
          <w:szCs w:val="24"/>
        </w:rPr>
        <w:t>.</w:t>
      </w:r>
    </w:p>
    <w:p w:rsidR="00B11A54" w:rsidRPr="008D0649" w:rsidRDefault="00B11A54" w:rsidP="00B11A54">
      <w:pPr>
        <w:spacing w:line="240" w:lineRule="auto"/>
        <w:jc w:val="center"/>
        <w:rPr>
          <w:rFonts w:ascii="Arial" w:hAnsi="Arial" w:cs="Arial"/>
          <w:sz w:val="24"/>
          <w:szCs w:val="24"/>
        </w:rPr>
      </w:pPr>
      <w:r w:rsidRPr="008D0649">
        <w:rPr>
          <w:rFonts w:ascii="Arial" w:hAnsi="Arial" w:cs="Arial"/>
          <w:sz w:val="24"/>
          <w:szCs w:val="24"/>
        </w:rPr>
        <w:t>Protesto lo necesario.</w:t>
      </w:r>
    </w:p>
    <w:p w:rsidR="00B11A54" w:rsidRDefault="00B11A54" w:rsidP="00B11A54">
      <w:pPr>
        <w:spacing w:after="0" w:line="240" w:lineRule="auto"/>
        <w:jc w:val="center"/>
        <w:rPr>
          <w:rFonts w:ascii="Arial" w:hAnsi="Arial" w:cs="Arial"/>
          <w:sz w:val="24"/>
          <w:szCs w:val="24"/>
        </w:rPr>
      </w:pPr>
    </w:p>
    <w:p w:rsidR="00B11A54" w:rsidRDefault="00B11A54" w:rsidP="00B11A54">
      <w:pPr>
        <w:spacing w:after="0" w:line="240" w:lineRule="auto"/>
        <w:jc w:val="center"/>
        <w:rPr>
          <w:rFonts w:ascii="Arial" w:hAnsi="Arial" w:cs="Arial"/>
          <w:sz w:val="24"/>
          <w:szCs w:val="24"/>
        </w:rPr>
      </w:pPr>
    </w:p>
    <w:p w:rsidR="00B11A54" w:rsidRPr="008D0649" w:rsidRDefault="00B11A54" w:rsidP="00B11A54">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B11A54" w:rsidRDefault="00B11A54" w:rsidP="00B11A54">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11A54" w:rsidRPr="00FE6303" w:rsidRDefault="00B11A54" w:rsidP="00B11A54">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bookmarkStart w:id="0" w:name="_GoBack"/>
      <w:bookmarkEnd w:id="0"/>
    </w:p>
    <w:sectPr w:rsidR="00B11A54" w:rsidRPr="00FE6303" w:rsidSect="009E69D6">
      <w:pgSz w:w="12240" w:h="15840"/>
      <w:pgMar w:top="851" w:right="104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2F8" w:rsidRDefault="002112F8" w:rsidP="00C22F5D">
      <w:pPr>
        <w:spacing w:after="0" w:line="240" w:lineRule="auto"/>
      </w:pPr>
      <w:r>
        <w:separator/>
      </w:r>
    </w:p>
  </w:endnote>
  <w:endnote w:type="continuationSeparator" w:id="0">
    <w:p w:rsidR="002112F8" w:rsidRDefault="002112F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2F8" w:rsidRDefault="002112F8" w:rsidP="00C22F5D">
      <w:pPr>
        <w:spacing w:after="0" w:line="240" w:lineRule="auto"/>
      </w:pPr>
      <w:r>
        <w:separator/>
      </w:r>
    </w:p>
  </w:footnote>
  <w:footnote w:type="continuationSeparator" w:id="0">
    <w:p w:rsidR="002112F8" w:rsidRDefault="002112F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B4D"/>
    <w:multiLevelType w:val="hybridMultilevel"/>
    <w:tmpl w:val="535C6670"/>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3C5D78"/>
    <w:multiLevelType w:val="hybridMultilevel"/>
    <w:tmpl w:val="36C461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A215AA"/>
    <w:multiLevelType w:val="hybridMultilevel"/>
    <w:tmpl w:val="7C22C21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135FE2"/>
    <w:multiLevelType w:val="hybridMultilevel"/>
    <w:tmpl w:val="5A34F2B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847E9"/>
    <w:rsid w:val="00087910"/>
    <w:rsid w:val="000C2DBD"/>
    <w:rsid w:val="000C381C"/>
    <w:rsid w:val="00100012"/>
    <w:rsid w:val="001265A5"/>
    <w:rsid w:val="001A0875"/>
    <w:rsid w:val="001A3E1F"/>
    <w:rsid w:val="001A7B3D"/>
    <w:rsid w:val="001E0FE0"/>
    <w:rsid w:val="00205B91"/>
    <w:rsid w:val="002112F8"/>
    <w:rsid w:val="00212259"/>
    <w:rsid w:val="00233AF4"/>
    <w:rsid w:val="00273C47"/>
    <w:rsid w:val="00285E67"/>
    <w:rsid w:val="00291E6F"/>
    <w:rsid w:val="00292E61"/>
    <w:rsid w:val="002C514A"/>
    <w:rsid w:val="002E4CF8"/>
    <w:rsid w:val="003146AC"/>
    <w:rsid w:val="00330D63"/>
    <w:rsid w:val="00373327"/>
    <w:rsid w:val="00376EEC"/>
    <w:rsid w:val="0038734E"/>
    <w:rsid w:val="00452086"/>
    <w:rsid w:val="00460B25"/>
    <w:rsid w:val="00463F3F"/>
    <w:rsid w:val="00466905"/>
    <w:rsid w:val="00491492"/>
    <w:rsid w:val="00497807"/>
    <w:rsid w:val="004C661D"/>
    <w:rsid w:val="00503880"/>
    <w:rsid w:val="00507C32"/>
    <w:rsid w:val="005169DF"/>
    <w:rsid w:val="00521746"/>
    <w:rsid w:val="005223D6"/>
    <w:rsid w:val="005471D8"/>
    <w:rsid w:val="0058667D"/>
    <w:rsid w:val="005B1881"/>
    <w:rsid w:val="005F0814"/>
    <w:rsid w:val="006120E7"/>
    <w:rsid w:val="006634E0"/>
    <w:rsid w:val="00683892"/>
    <w:rsid w:val="00685C70"/>
    <w:rsid w:val="006C17A8"/>
    <w:rsid w:val="00737134"/>
    <w:rsid w:val="00753309"/>
    <w:rsid w:val="007E1EC4"/>
    <w:rsid w:val="007E7F81"/>
    <w:rsid w:val="00840F97"/>
    <w:rsid w:val="00844494"/>
    <w:rsid w:val="00882B03"/>
    <w:rsid w:val="009046A2"/>
    <w:rsid w:val="0091550E"/>
    <w:rsid w:val="009244AE"/>
    <w:rsid w:val="0098490D"/>
    <w:rsid w:val="0099130B"/>
    <w:rsid w:val="009C0E58"/>
    <w:rsid w:val="009D1D49"/>
    <w:rsid w:val="009E45A4"/>
    <w:rsid w:val="009E69D6"/>
    <w:rsid w:val="00A208EA"/>
    <w:rsid w:val="00A30C91"/>
    <w:rsid w:val="00A62E93"/>
    <w:rsid w:val="00A71143"/>
    <w:rsid w:val="00A80ED5"/>
    <w:rsid w:val="00A9643F"/>
    <w:rsid w:val="00AA19B9"/>
    <w:rsid w:val="00AD4A39"/>
    <w:rsid w:val="00AD53E6"/>
    <w:rsid w:val="00B11A54"/>
    <w:rsid w:val="00B61E28"/>
    <w:rsid w:val="00B90082"/>
    <w:rsid w:val="00BA43F0"/>
    <w:rsid w:val="00BD7289"/>
    <w:rsid w:val="00C0645A"/>
    <w:rsid w:val="00C22F5D"/>
    <w:rsid w:val="00C31D30"/>
    <w:rsid w:val="00C44175"/>
    <w:rsid w:val="00C6308B"/>
    <w:rsid w:val="00C64EA9"/>
    <w:rsid w:val="00CA1715"/>
    <w:rsid w:val="00CB2760"/>
    <w:rsid w:val="00D017A6"/>
    <w:rsid w:val="00D06244"/>
    <w:rsid w:val="00D3303C"/>
    <w:rsid w:val="00D45409"/>
    <w:rsid w:val="00D5318D"/>
    <w:rsid w:val="00D85B0A"/>
    <w:rsid w:val="00DA4E1D"/>
    <w:rsid w:val="00DA6FC5"/>
    <w:rsid w:val="00DE13C1"/>
    <w:rsid w:val="00DE2B45"/>
    <w:rsid w:val="00DE3F0F"/>
    <w:rsid w:val="00DE779D"/>
    <w:rsid w:val="00E01448"/>
    <w:rsid w:val="00E31166"/>
    <w:rsid w:val="00E44D32"/>
    <w:rsid w:val="00E961DB"/>
    <w:rsid w:val="00EA1F59"/>
    <w:rsid w:val="00EB14AB"/>
    <w:rsid w:val="00EC5959"/>
    <w:rsid w:val="00EE0A7E"/>
    <w:rsid w:val="00F25258"/>
    <w:rsid w:val="00F55A70"/>
    <w:rsid w:val="00F60FFA"/>
    <w:rsid w:val="00FA3BA0"/>
    <w:rsid w:val="00FA6ECE"/>
    <w:rsid w:val="00FB177C"/>
    <w:rsid w:val="00FC29C5"/>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39411254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92EE3-42D3-4394-B49F-0235DD6A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266</Words>
  <Characters>1466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76</cp:revision>
  <cp:lastPrinted>2018-09-04T20:05:00Z</cp:lastPrinted>
  <dcterms:created xsi:type="dcterms:W3CDTF">2018-08-08T17:13:00Z</dcterms:created>
  <dcterms:modified xsi:type="dcterms:W3CDTF">2019-03-26T18:02:00Z</dcterms:modified>
</cp:coreProperties>
</file>