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rsidR="0070756F" w:rsidRDefault="000B6DA5" w:rsidP="0070756F">
      <w:pPr>
        <w:spacing w:after="0" w:line="240" w:lineRule="auto"/>
        <w:jc w:val="center"/>
        <w:rPr>
          <w:rFonts w:ascii="Arial" w:hAnsi="Arial" w:cs="Arial"/>
          <w:b/>
          <w:sz w:val="24"/>
          <w:szCs w:val="24"/>
        </w:rPr>
      </w:pPr>
      <w:r>
        <w:rPr>
          <w:rFonts w:ascii="Arial" w:hAnsi="Arial" w:cs="Arial"/>
          <w:b/>
          <w:sz w:val="24"/>
          <w:szCs w:val="24"/>
        </w:rPr>
        <w:t>LICITACIÓN PÚBLICA LP-S</w:t>
      </w:r>
      <w:r w:rsidR="0070756F">
        <w:rPr>
          <w:rFonts w:ascii="Arial" w:hAnsi="Arial" w:cs="Arial"/>
          <w:b/>
          <w:sz w:val="24"/>
          <w:szCs w:val="24"/>
        </w:rPr>
        <w:t>C-0</w:t>
      </w:r>
      <w:r w:rsidR="00EE5A9E">
        <w:rPr>
          <w:rFonts w:ascii="Arial" w:hAnsi="Arial" w:cs="Arial"/>
          <w:b/>
          <w:sz w:val="24"/>
          <w:szCs w:val="24"/>
        </w:rPr>
        <w:t>0</w:t>
      </w:r>
      <w:r w:rsidR="006078F2">
        <w:rPr>
          <w:rFonts w:ascii="Arial" w:hAnsi="Arial" w:cs="Arial"/>
          <w:b/>
          <w:sz w:val="24"/>
          <w:szCs w:val="24"/>
        </w:rPr>
        <w:t>1</w:t>
      </w:r>
      <w:r w:rsidR="0070756F">
        <w:rPr>
          <w:rFonts w:ascii="Arial" w:hAnsi="Arial" w:cs="Arial"/>
          <w:b/>
          <w:sz w:val="24"/>
          <w:szCs w:val="24"/>
        </w:rPr>
        <w:t>-20</w:t>
      </w:r>
      <w:r w:rsidR="00C3256A">
        <w:rPr>
          <w:rFonts w:ascii="Arial" w:hAnsi="Arial" w:cs="Arial"/>
          <w:b/>
          <w:sz w:val="24"/>
          <w:szCs w:val="24"/>
        </w:rPr>
        <w:t>21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“SEGURO PARA EL PARQUE VEHICULAR DE LA ASEJ”</w:t>
      </w:r>
    </w:p>
    <w:p w:rsidR="001E5744" w:rsidRDefault="001E5744">
      <w:pPr>
        <w:widowControl w:val="0"/>
        <w:autoSpaceDE w:val="0"/>
        <w:autoSpaceDN w:val="0"/>
        <w:adjustRightInd w:val="0"/>
        <w:spacing w:before="1" w:after="0" w:line="240" w:lineRule="exact"/>
        <w:rPr>
          <w:rFonts w:ascii="Arial Narrow" w:hAnsi="Arial Narrow" w:cs="Arial Narrow"/>
          <w:sz w:val="24"/>
          <w:szCs w:val="24"/>
        </w:rPr>
      </w:pPr>
    </w:p>
    <w:p w:rsidR="001E5744" w:rsidRDefault="001E5744">
      <w:pPr>
        <w:widowControl w:val="0"/>
        <w:autoSpaceDE w:val="0"/>
        <w:autoSpaceDN w:val="0"/>
        <w:adjustRightInd w:val="0"/>
        <w:spacing w:after="0" w:line="200" w:lineRule="exact"/>
        <w:rPr>
          <w:rFonts w:ascii="Arial Narrow" w:hAnsi="Arial Narrow" w:cs="Arial Narrow"/>
          <w:sz w:val="20"/>
          <w:szCs w:val="20"/>
        </w:rPr>
      </w:pPr>
    </w:p>
    <w:p w:rsidR="001E5744" w:rsidRPr="006D2A27" w:rsidRDefault="001E5744">
      <w:pPr>
        <w:widowControl w:val="0"/>
        <w:autoSpaceDE w:val="0"/>
        <w:autoSpaceDN w:val="0"/>
        <w:adjustRightInd w:val="0"/>
        <w:spacing w:before="1" w:after="0" w:line="150" w:lineRule="exact"/>
        <w:rPr>
          <w:rFonts w:ascii="Arial" w:hAnsi="Arial" w:cs="Arial"/>
          <w:sz w:val="24"/>
          <w:szCs w:val="24"/>
        </w:rPr>
      </w:pPr>
    </w:p>
    <w:p w:rsidR="00C3256A" w:rsidRPr="00C3256A" w:rsidRDefault="00C3256A" w:rsidP="00C3256A">
      <w:pPr>
        <w:spacing w:before="100" w:after="200" w:line="276" w:lineRule="auto"/>
        <w:jc w:val="both"/>
        <w:rPr>
          <w:rFonts w:ascii="Arial" w:hAnsi="Arial" w:cs="Arial"/>
          <w:szCs w:val="20"/>
          <w:lang w:eastAsia="en-US"/>
        </w:rPr>
      </w:pPr>
      <w:r w:rsidRPr="00C3256A">
        <w:rPr>
          <w:rFonts w:ascii="Arial" w:hAnsi="Arial" w:cs="Arial"/>
          <w:szCs w:val="20"/>
          <w:lang w:eastAsia="en-US"/>
        </w:rPr>
        <w:t>La póliza de seguros es un contrato entre el asegurado y la compañía de seguros la cual establece derechos y obligaciones de ambos, en relación al seguro contratado esta póliza puede proporcionar cobertura para el vehículo ya sea por robo, colisión accidental y/o daños ocasionados a terceros entre otros.</w:t>
      </w:r>
    </w:p>
    <w:p w:rsidR="00C3256A" w:rsidRPr="00C3256A" w:rsidRDefault="00C3256A" w:rsidP="00C3256A">
      <w:pPr>
        <w:spacing w:before="100" w:after="200" w:line="276" w:lineRule="auto"/>
        <w:jc w:val="both"/>
        <w:rPr>
          <w:rFonts w:ascii="Arial" w:hAnsi="Arial" w:cs="Arial"/>
          <w:szCs w:val="20"/>
          <w:lang w:eastAsia="en-US"/>
        </w:rPr>
      </w:pPr>
      <w:r w:rsidRPr="00C3256A">
        <w:rPr>
          <w:rFonts w:ascii="Arial" w:hAnsi="Arial" w:cs="Arial"/>
          <w:szCs w:val="20"/>
          <w:lang w:eastAsia="en-US"/>
        </w:rPr>
        <w:t xml:space="preserve">De lo anterior, se observa para esta Auditoría Superior del Estado de Jalisco, que le es aplicable la obligatoriedad consagrada en el artículo 44, fracción V de la multicitada Ley de Compras Gubernamentales, Enajenaciones y Contratación de Servicios del Estado de Jalisco y sus Municipios, </w:t>
      </w:r>
      <w:bookmarkStart w:id="1" w:name="_Hlk61168628"/>
      <w:r w:rsidRPr="00C3256A">
        <w:rPr>
          <w:rFonts w:ascii="Arial" w:hAnsi="Arial" w:cs="Arial"/>
          <w:szCs w:val="20"/>
          <w:lang w:eastAsia="en-US"/>
        </w:rPr>
        <w:t>que establece que se toman las medidas necesarias para el resguardo, protección y custodia de los bienes existentes, tanto en términos físicos como jurídicos y mantener actualizado su control de inventarios; además, resulta una obligatoriedad para todo aquel que pretenda transitar en las vías públicas de comunicación local, que su(s) vehículo(s) cuenten con una póliza de seguro vigente para responder en forma efectiva de los posibles daños a terceros, como lo consagra el artículo 69 de la Ley de Movilidad y Transporte del Estado de Jalisco.</w:t>
      </w:r>
    </w:p>
    <w:bookmarkEnd w:id="1"/>
    <w:p w:rsidR="00C3256A" w:rsidRPr="00C3256A" w:rsidRDefault="00C3256A" w:rsidP="00C3256A">
      <w:pPr>
        <w:spacing w:after="0" w:line="240" w:lineRule="auto"/>
        <w:rPr>
          <w:rFonts w:ascii="Arial" w:hAnsi="Arial" w:cs="Arial"/>
          <w:b/>
          <w:color w:val="000000"/>
          <w:sz w:val="24"/>
          <w:szCs w:val="24"/>
          <w:u w:val="single"/>
          <w:lang w:val="es-MX" w:eastAsia="es-MX"/>
        </w:rPr>
      </w:pPr>
      <w:r w:rsidRPr="00C3256A">
        <w:rPr>
          <w:rFonts w:ascii="Arial" w:hAnsi="Arial" w:cs="Arial"/>
          <w:b/>
          <w:color w:val="000000"/>
          <w:sz w:val="24"/>
          <w:szCs w:val="24"/>
          <w:u w:val="single"/>
          <w:lang w:val="es-MX" w:eastAsia="es-MX"/>
        </w:rPr>
        <w:t xml:space="preserve">REQUERIMIENTOS </w:t>
      </w:r>
    </w:p>
    <w:p w:rsidR="00C3256A" w:rsidRPr="00C3256A" w:rsidRDefault="00C3256A" w:rsidP="00C3256A">
      <w:pPr>
        <w:spacing w:after="0" w:line="240" w:lineRule="auto"/>
        <w:rPr>
          <w:rFonts w:ascii="Arial" w:hAnsi="Arial" w:cs="Arial"/>
          <w:b/>
          <w:color w:val="000000"/>
          <w:sz w:val="24"/>
          <w:szCs w:val="24"/>
          <w:lang w:val="es-MX" w:eastAsia="es-MX"/>
        </w:rPr>
      </w:pPr>
    </w:p>
    <w:p w:rsidR="00C3256A" w:rsidRPr="00C3256A" w:rsidRDefault="00C3256A" w:rsidP="00C3256A">
      <w:pPr>
        <w:spacing w:after="0" w:line="240" w:lineRule="auto"/>
        <w:jc w:val="both"/>
        <w:rPr>
          <w:rFonts w:ascii="Arial" w:hAnsi="Arial" w:cs="Arial"/>
          <w:szCs w:val="20"/>
          <w:lang w:eastAsia="en-US"/>
        </w:rPr>
      </w:pPr>
      <w:r w:rsidRPr="00C3256A">
        <w:rPr>
          <w:rFonts w:ascii="Arial" w:hAnsi="Arial" w:cs="Arial"/>
          <w:szCs w:val="20"/>
          <w:lang w:eastAsia="en-US"/>
        </w:rPr>
        <w:t>Adquisición de pólizas de Seguro Para los 64 vehículos que integran la Flotilla del Parque Vehicular de la Auditoría Superior del Estado de Jalisco. Periodo de 12 meses. Iniciando a las 12 horas del mediodía local del 31 de ENERO del 2021, concluyendo a las 12 horas del mediodía local del 31 de ENERO de 2022. Según detalle y características técnicas especificadas.</w:t>
      </w:r>
    </w:p>
    <w:p w:rsidR="00C3256A" w:rsidRPr="00C3256A" w:rsidRDefault="00C3256A" w:rsidP="00C3256A">
      <w:pPr>
        <w:spacing w:after="0" w:line="240" w:lineRule="auto"/>
        <w:rPr>
          <w:rFonts w:ascii="Arial" w:hAnsi="Arial" w:cs="Arial"/>
          <w:color w:val="5C6B7E"/>
          <w:sz w:val="30"/>
          <w:szCs w:val="30"/>
          <w:lang w:val="es-MX" w:eastAsia="es-MX"/>
        </w:rPr>
      </w:pPr>
    </w:p>
    <w:p w:rsidR="00C3256A" w:rsidRPr="00C3256A" w:rsidRDefault="00C3256A" w:rsidP="00C3256A">
      <w:pPr>
        <w:spacing w:after="0" w:line="240" w:lineRule="auto"/>
        <w:jc w:val="both"/>
        <w:rPr>
          <w:rFonts w:ascii="Arial" w:hAnsi="Arial" w:cs="Arial"/>
          <w:szCs w:val="20"/>
          <w:lang w:eastAsia="en-US"/>
        </w:rPr>
      </w:pPr>
      <w:r>
        <w:rPr>
          <w:rFonts w:ascii="Arial" w:hAnsi="Arial" w:cs="Arial"/>
          <w:b/>
          <w:color w:val="000000"/>
          <w:sz w:val="24"/>
          <w:szCs w:val="24"/>
          <w:lang w:val="es-MX" w:eastAsia="es-MX"/>
        </w:rPr>
        <w:t xml:space="preserve">1 </w:t>
      </w:r>
      <w:r w:rsidRPr="00C3256A">
        <w:rPr>
          <w:rFonts w:ascii="Arial" w:hAnsi="Arial" w:cs="Arial"/>
          <w:b/>
          <w:color w:val="000000"/>
          <w:sz w:val="24"/>
          <w:szCs w:val="24"/>
          <w:lang w:val="es-MX" w:eastAsia="es-MX"/>
        </w:rPr>
        <w:t xml:space="preserve">Bienes cubiertos: </w:t>
      </w:r>
      <w:r w:rsidRPr="00C3256A">
        <w:rPr>
          <w:rFonts w:ascii="Arial" w:hAnsi="Arial" w:cs="Arial"/>
          <w:szCs w:val="20"/>
          <w:lang w:eastAsia="en-US"/>
        </w:rPr>
        <w:t>automóviles, camionetas y camión, de acuerdo a la relación detallada de las unidades a asegurar (se anexa listado), y en general todos los vehículos propiedad o al servicio de la Auditoría Superior del Estado de Jalisco, que sean adquiridos y/o se den de alta durante la vigencia de la póliza.</w:t>
      </w:r>
    </w:p>
    <w:p w:rsidR="00C3256A" w:rsidRPr="00C3256A" w:rsidRDefault="00C3256A" w:rsidP="00C3256A">
      <w:pPr>
        <w:spacing w:after="0" w:line="240" w:lineRule="auto"/>
        <w:rPr>
          <w:rFonts w:ascii="Arial" w:hAnsi="Arial" w:cs="Arial"/>
          <w:color w:val="5C6B7E"/>
          <w:sz w:val="30"/>
          <w:szCs w:val="30"/>
          <w:lang w:val="es-MX" w:eastAsia="es-MX"/>
        </w:rPr>
      </w:pPr>
    </w:p>
    <w:p w:rsidR="00C3256A" w:rsidRPr="00C3256A" w:rsidRDefault="00C3256A" w:rsidP="00C3256A">
      <w:pPr>
        <w:spacing w:after="0" w:line="240" w:lineRule="auto"/>
        <w:jc w:val="both"/>
        <w:rPr>
          <w:rFonts w:ascii="Arial" w:hAnsi="Arial" w:cs="Arial"/>
          <w:szCs w:val="20"/>
          <w:lang w:eastAsia="en-US"/>
        </w:rPr>
      </w:pPr>
      <w:r>
        <w:rPr>
          <w:rFonts w:ascii="Arial" w:hAnsi="Arial" w:cs="Arial"/>
          <w:b/>
          <w:color w:val="000000"/>
          <w:sz w:val="24"/>
          <w:szCs w:val="24"/>
          <w:lang w:val="es-MX" w:eastAsia="es-MX"/>
        </w:rPr>
        <w:t xml:space="preserve">2 </w:t>
      </w:r>
      <w:r w:rsidRPr="00C3256A">
        <w:rPr>
          <w:rFonts w:ascii="Arial" w:hAnsi="Arial" w:cs="Arial"/>
          <w:b/>
          <w:color w:val="000000"/>
          <w:sz w:val="24"/>
          <w:szCs w:val="24"/>
          <w:lang w:val="es-MX" w:eastAsia="es-MX"/>
        </w:rPr>
        <w:t xml:space="preserve">Cobertura automática: </w:t>
      </w:r>
      <w:r w:rsidRPr="00C3256A">
        <w:rPr>
          <w:rFonts w:ascii="Arial" w:hAnsi="Arial" w:cs="Arial"/>
          <w:szCs w:val="20"/>
          <w:lang w:eastAsia="en-US"/>
        </w:rPr>
        <w:t>quedan cubiertas todas aquellas unidades que fueron adquiridas o adjudicadas en un periodo de 45 días naturales a partir de su adquisición o adjudicación, tiempo necesario para notificarse a la compañía por parte del asegurado.</w:t>
      </w:r>
    </w:p>
    <w:p w:rsidR="00C3256A" w:rsidRPr="00C3256A" w:rsidRDefault="00C3256A" w:rsidP="00C3256A">
      <w:pPr>
        <w:spacing w:after="0" w:line="240" w:lineRule="auto"/>
        <w:jc w:val="both"/>
        <w:rPr>
          <w:rFonts w:ascii="Arial" w:hAnsi="Arial" w:cs="Arial"/>
          <w:szCs w:val="20"/>
          <w:lang w:eastAsia="en-US"/>
        </w:rPr>
      </w:pPr>
    </w:p>
    <w:p w:rsidR="00C3256A" w:rsidRDefault="00C3256A" w:rsidP="00C3256A">
      <w:pPr>
        <w:widowControl w:val="0"/>
        <w:tabs>
          <w:tab w:val="left" w:pos="820"/>
        </w:tabs>
        <w:autoSpaceDE w:val="0"/>
        <w:autoSpaceDN w:val="0"/>
        <w:adjustRightInd w:val="0"/>
        <w:spacing w:before="14" w:after="0" w:line="260" w:lineRule="exact"/>
        <w:ind w:right="57"/>
        <w:jc w:val="both"/>
        <w:rPr>
          <w:rFonts w:ascii="Arial" w:hAnsi="Arial" w:cs="Arial"/>
          <w:szCs w:val="20"/>
          <w:lang w:eastAsia="en-US"/>
        </w:rPr>
      </w:pPr>
      <w:r w:rsidRPr="00C3256A">
        <w:rPr>
          <w:rFonts w:ascii="Arial" w:hAnsi="Arial" w:cs="Arial"/>
          <w:szCs w:val="20"/>
          <w:lang w:eastAsia="en-US"/>
        </w:rPr>
        <w:t>La reparación de vehículos modelos, 2020, 2017, 2016, 2015, 2012, 2011 y 2006, se realizarán en los talleres de las agencias distribuidoras de vehículos nuevos de la marca correspondiente que estén en convenio con la compañía aseguradora adjudicada.</w:t>
      </w:r>
    </w:p>
    <w:p w:rsidR="00C3256A" w:rsidRDefault="00C3256A" w:rsidP="00C3256A">
      <w:pPr>
        <w:widowControl w:val="0"/>
        <w:tabs>
          <w:tab w:val="left" w:pos="820"/>
        </w:tabs>
        <w:autoSpaceDE w:val="0"/>
        <w:autoSpaceDN w:val="0"/>
        <w:adjustRightInd w:val="0"/>
        <w:spacing w:before="14" w:after="0" w:line="260" w:lineRule="exact"/>
        <w:ind w:right="57"/>
        <w:jc w:val="both"/>
        <w:rPr>
          <w:rFonts w:ascii="Arial" w:hAnsi="Arial" w:cs="Arial"/>
          <w:szCs w:val="20"/>
          <w:lang w:eastAsia="en-US"/>
        </w:rPr>
      </w:pPr>
    </w:p>
    <w:p w:rsidR="00C3256A" w:rsidRDefault="00C3256A" w:rsidP="00C3256A">
      <w:pPr>
        <w:widowControl w:val="0"/>
        <w:tabs>
          <w:tab w:val="left" w:pos="820"/>
        </w:tabs>
        <w:autoSpaceDE w:val="0"/>
        <w:autoSpaceDN w:val="0"/>
        <w:adjustRightInd w:val="0"/>
        <w:spacing w:before="14" w:after="0" w:line="260" w:lineRule="exact"/>
        <w:ind w:right="57"/>
        <w:jc w:val="both"/>
        <w:rPr>
          <w:rFonts w:ascii="Arial" w:hAnsi="Arial" w:cs="Arial"/>
          <w:szCs w:val="20"/>
          <w:lang w:eastAsia="en-US"/>
        </w:rPr>
      </w:pPr>
    </w:p>
    <w:p w:rsidR="00C3256A" w:rsidRDefault="00C3256A" w:rsidP="00C3256A">
      <w:pPr>
        <w:widowControl w:val="0"/>
        <w:tabs>
          <w:tab w:val="left" w:pos="820"/>
        </w:tabs>
        <w:autoSpaceDE w:val="0"/>
        <w:autoSpaceDN w:val="0"/>
        <w:adjustRightInd w:val="0"/>
        <w:spacing w:before="14" w:after="0" w:line="260" w:lineRule="exact"/>
        <w:ind w:right="57"/>
        <w:jc w:val="both"/>
        <w:rPr>
          <w:rFonts w:ascii="Arial" w:hAnsi="Arial" w:cs="Arial"/>
          <w:szCs w:val="20"/>
          <w:lang w:eastAsia="en-US"/>
        </w:rPr>
      </w:pPr>
    </w:p>
    <w:p w:rsidR="00C3256A" w:rsidRPr="00C3256A" w:rsidRDefault="00C3256A" w:rsidP="00C3256A">
      <w:pPr>
        <w:widowControl w:val="0"/>
        <w:tabs>
          <w:tab w:val="left" w:pos="820"/>
        </w:tabs>
        <w:autoSpaceDE w:val="0"/>
        <w:autoSpaceDN w:val="0"/>
        <w:adjustRightInd w:val="0"/>
        <w:spacing w:before="14" w:after="0" w:line="260" w:lineRule="exact"/>
        <w:ind w:right="57"/>
        <w:jc w:val="both"/>
        <w:rPr>
          <w:rFonts w:ascii="Arial" w:hAnsi="Arial" w:cs="Arial"/>
          <w:szCs w:val="20"/>
          <w:lang w:eastAsia="en-US"/>
        </w:rPr>
      </w:pPr>
    </w:p>
    <w:p w:rsidR="00C3256A" w:rsidRPr="00C3256A" w:rsidRDefault="00C3256A" w:rsidP="00C3256A">
      <w:pPr>
        <w:spacing w:after="0" w:line="240" w:lineRule="auto"/>
        <w:rPr>
          <w:rFonts w:ascii="Arial" w:hAnsi="Arial" w:cs="Arial"/>
          <w:b/>
          <w:color w:val="000000"/>
          <w:sz w:val="24"/>
          <w:szCs w:val="24"/>
          <w:lang w:val="es-MX" w:eastAsia="es-MX"/>
        </w:rPr>
      </w:pPr>
      <w:r>
        <w:rPr>
          <w:rFonts w:ascii="Arial" w:hAnsi="Arial" w:cs="Arial"/>
          <w:b/>
          <w:color w:val="000000"/>
          <w:sz w:val="24"/>
          <w:szCs w:val="24"/>
          <w:lang w:val="es-MX" w:eastAsia="es-MX"/>
        </w:rPr>
        <w:t xml:space="preserve">3 </w:t>
      </w:r>
      <w:r w:rsidRPr="00C3256A">
        <w:rPr>
          <w:rFonts w:ascii="Arial" w:hAnsi="Arial" w:cs="Arial"/>
          <w:b/>
          <w:color w:val="000000"/>
          <w:sz w:val="24"/>
          <w:szCs w:val="24"/>
          <w:lang w:val="es-MX" w:eastAsia="es-MX"/>
        </w:rPr>
        <w:t>Especificaciones técnicas</w:t>
      </w:r>
    </w:p>
    <w:p w:rsidR="00C3256A" w:rsidRPr="00C3256A" w:rsidRDefault="00C3256A" w:rsidP="00C3256A">
      <w:pPr>
        <w:spacing w:after="0" w:line="240" w:lineRule="auto"/>
        <w:rPr>
          <w:rFonts w:ascii="Times New Roman" w:hAnsi="Times New Roman"/>
          <w:b/>
          <w:color w:val="000000"/>
          <w:sz w:val="24"/>
          <w:szCs w:val="24"/>
          <w:lang w:val="es-MX" w:eastAsia="es-MX"/>
        </w:rPr>
      </w:pPr>
    </w:p>
    <w:p w:rsidR="00C3256A" w:rsidRPr="00C3256A" w:rsidRDefault="00A17590" w:rsidP="00C3256A">
      <w:pPr>
        <w:spacing w:before="100" w:after="200" w:line="276" w:lineRule="auto"/>
        <w:jc w:val="both"/>
        <w:rPr>
          <w:rFonts w:ascii="Arial" w:hAnsi="Arial" w:cs="Arial"/>
          <w:szCs w:val="20"/>
          <w:lang w:eastAsia="en-US"/>
        </w:rPr>
      </w:pPr>
      <w:r w:rsidRPr="00C3256A">
        <w:rPr>
          <w:noProof/>
          <w:sz w:val="20"/>
          <w:szCs w:val="20"/>
          <w:lang w:val="es-MX" w:eastAsia="es-MX"/>
        </w:rPr>
        <w:lastRenderedPageBreak/>
        <w:drawing>
          <wp:inline distT="0" distB="0" distL="0" distR="0">
            <wp:extent cx="5495925" cy="6400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6400800"/>
                    </a:xfrm>
                    <a:prstGeom prst="rect">
                      <a:avLst/>
                    </a:prstGeom>
                    <a:noFill/>
                    <a:ln>
                      <a:noFill/>
                    </a:ln>
                  </pic:spPr>
                </pic:pic>
              </a:graphicData>
            </a:graphic>
          </wp:inline>
        </w:drawing>
      </w:r>
    </w:p>
    <w:p w:rsidR="00C3256A" w:rsidRDefault="00C3256A" w:rsidP="00C3256A">
      <w:pPr>
        <w:numPr>
          <w:ilvl w:val="1"/>
          <w:numId w:val="17"/>
        </w:numPr>
        <w:spacing w:before="100" w:after="200" w:line="276" w:lineRule="auto"/>
        <w:contextualSpacing/>
        <w:jc w:val="both"/>
        <w:rPr>
          <w:rFonts w:ascii="Arial" w:hAnsi="Arial" w:cs="Arial"/>
          <w:szCs w:val="20"/>
          <w:lang w:eastAsia="en-US"/>
        </w:rPr>
      </w:pPr>
      <w:r w:rsidRPr="00C3256A">
        <w:rPr>
          <w:rFonts w:ascii="Arial" w:hAnsi="Arial" w:cs="Arial"/>
          <w:szCs w:val="20"/>
          <w:lang w:eastAsia="en-US"/>
        </w:rPr>
        <w:t xml:space="preserve">Cuando el vehículo no aparezca en las guías EBC y/o </w:t>
      </w:r>
      <w:proofErr w:type="spellStart"/>
      <w:r w:rsidRPr="00C3256A">
        <w:rPr>
          <w:rFonts w:ascii="Arial" w:hAnsi="Arial" w:cs="Arial"/>
          <w:szCs w:val="20"/>
          <w:lang w:eastAsia="en-US"/>
        </w:rPr>
        <w:t>autométrica</w:t>
      </w:r>
      <w:proofErr w:type="spellEnd"/>
      <w:r w:rsidRPr="00C3256A">
        <w:rPr>
          <w:rFonts w:ascii="Arial" w:hAnsi="Arial" w:cs="Arial"/>
          <w:szCs w:val="20"/>
          <w:lang w:eastAsia="en-US"/>
        </w:rPr>
        <w:t xml:space="preserve"> se tomará como valor comercial el propuesto por la compañía aseguradora previo acuerdo con la convocante. </w:t>
      </w:r>
    </w:p>
    <w:p w:rsidR="00C3256A" w:rsidRPr="00C3256A" w:rsidRDefault="00C3256A" w:rsidP="00C3256A">
      <w:pPr>
        <w:spacing w:before="100" w:after="200" w:line="276" w:lineRule="auto"/>
        <w:ind w:left="1080"/>
        <w:contextualSpacing/>
        <w:jc w:val="both"/>
        <w:rPr>
          <w:rFonts w:ascii="Arial" w:hAnsi="Arial" w:cs="Arial"/>
          <w:szCs w:val="20"/>
          <w:lang w:eastAsia="en-US"/>
        </w:rPr>
      </w:pPr>
    </w:p>
    <w:p w:rsidR="00C3256A" w:rsidRPr="00C3256A" w:rsidRDefault="00C3256A" w:rsidP="00C3256A">
      <w:pPr>
        <w:numPr>
          <w:ilvl w:val="1"/>
          <w:numId w:val="17"/>
        </w:numPr>
        <w:spacing w:before="100" w:after="200" w:line="276" w:lineRule="auto"/>
        <w:contextualSpacing/>
        <w:jc w:val="both"/>
        <w:rPr>
          <w:rFonts w:ascii="Arial" w:hAnsi="Arial" w:cs="Arial"/>
          <w:szCs w:val="20"/>
          <w:lang w:eastAsia="en-US"/>
        </w:rPr>
      </w:pPr>
      <w:r w:rsidRPr="00C3256A">
        <w:rPr>
          <w:rFonts w:ascii="Arial" w:hAnsi="Arial" w:cs="Arial"/>
          <w:b/>
          <w:szCs w:val="20"/>
          <w:lang w:eastAsia="en-US"/>
        </w:rPr>
        <w:t>Territorialidad</w:t>
      </w:r>
      <w:r w:rsidRPr="00C3256A">
        <w:rPr>
          <w:rFonts w:ascii="Arial" w:hAnsi="Arial" w:cs="Arial"/>
          <w:szCs w:val="20"/>
          <w:lang w:eastAsia="en-US"/>
        </w:rPr>
        <w:t xml:space="preserve">: la aplicación de las coberturas amparadas se extiende a todas las entidades federativas y municipios que conforman el territorio nacional. </w:t>
      </w:r>
    </w:p>
    <w:p w:rsidR="00C3256A" w:rsidRPr="00C3256A" w:rsidRDefault="00C3256A" w:rsidP="00C3256A">
      <w:pPr>
        <w:spacing w:before="100" w:after="200" w:line="276" w:lineRule="auto"/>
        <w:ind w:left="720"/>
        <w:contextualSpacing/>
        <w:jc w:val="both"/>
        <w:rPr>
          <w:rFonts w:ascii="Arial" w:hAnsi="Arial" w:cs="Arial"/>
          <w:szCs w:val="20"/>
          <w:lang w:eastAsia="en-US"/>
        </w:rPr>
      </w:pPr>
    </w:p>
    <w:p w:rsidR="00C3256A" w:rsidRPr="00C3256A" w:rsidRDefault="00C3256A" w:rsidP="00D926D5">
      <w:pPr>
        <w:widowControl w:val="0"/>
        <w:numPr>
          <w:ilvl w:val="0"/>
          <w:numId w:val="17"/>
        </w:numPr>
        <w:autoSpaceDE w:val="0"/>
        <w:autoSpaceDN w:val="0"/>
        <w:adjustRightInd w:val="0"/>
        <w:spacing w:before="100" w:after="0" w:line="240" w:lineRule="auto"/>
        <w:ind w:right="62"/>
        <w:contextualSpacing/>
        <w:jc w:val="both"/>
        <w:rPr>
          <w:rFonts w:ascii="Arial" w:hAnsi="Arial" w:cs="Arial"/>
          <w:szCs w:val="20"/>
          <w:lang w:eastAsia="en-US"/>
        </w:rPr>
      </w:pPr>
      <w:r w:rsidRPr="00D926D5">
        <w:rPr>
          <w:rFonts w:ascii="Arial" w:hAnsi="Arial" w:cs="Arial"/>
          <w:b/>
          <w:bCs/>
          <w:sz w:val="24"/>
          <w:szCs w:val="24"/>
          <w:lang w:eastAsia="en-US"/>
        </w:rPr>
        <w:t>G</w:t>
      </w:r>
      <w:r w:rsidRPr="00D926D5">
        <w:rPr>
          <w:rFonts w:ascii="Arial" w:hAnsi="Arial" w:cs="Arial"/>
          <w:b/>
          <w:bCs/>
          <w:spacing w:val="1"/>
          <w:sz w:val="24"/>
          <w:szCs w:val="24"/>
          <w:lang w:eastAsia="en-US"/>
        </w:rPr>
        <w:t>as</w:t>
      </w:r>
      <w:r w:rsidRPr="00D926D5">
        <w:rPr>
          <w:rFonts w:ascii="Arial" w:hAnsi="Arial" w:cs="Arial"/>
          <w:b/>
          <w:bCs/>
          <w:sz w:val="24"/>
          <w:szCs w:val="24"/>
          <w:lang w:eastAsia="en-US"/>
        </w:rPr>
        <w:t>t</w:t>
      </w:r>
      <w:r w:rsidRPr="00D926D5">
        <w:rPr>
          <w:rFonts w:ascii="Arial" w:hAnsi="Arial" w:cs="Arial"/>
          <w:b/>
          <w:bCs/>
          <w:spacing w:val="-1"/>
          <w:sz w:val="24"/>
          <w:szCs w:val="24"/>
          <w:lang w:eastAsia="en-US"/>
        </w:rPr>
        <w:t>o</w:t>
      </w:r>
      <w:r w:rsidRPr="00D926D5">
        <w:rPr>
          <w:rFonts w:ascii="Arial" w:hAnsi="Arial" w:cs="Arial"/>
          <w:b/>
          <w:bCs/>
          <w:sz w:val="24"/>
          <w:szCs w:val="24"/>
          <w:lang w:eastAsia="en-US"/>
        </w:rPr>
        <w:t>s</w:t>
      </w:r>
      <w:r w:rsidRPr="00D926D5">
        <w:rPr>
          <w:rFonts w:ascii="Arial" w:hAnsi="Arial" w:cs="Arial"/>
          <w:b/>
          <w:bCs/>
          <w:spacing w:val="-1"/>
          <w:sz w:val="24"/>
          <w:szCs w:val="24"/>
          <w:lang w:eastAsia="en-US"/>
        </w:rPr>
        <w:t xml:space="preserve"> </w:t>
      </w:r>
      <w:r w:rsidRPr="00D926D5">
        <w:rPr>
          <w:rFonts w:ascii="Arial" w:hAnsi="Arial" w:cs="Arial"/>
          <w:b/>
          <w:bCs/>
          <w:spacing w:val="-2"/>
          <w:sz w:val="24"/>
          <w:szCs w:val="24"/>
          <w:lang w:eastAsia="en-US"/>
        </w:rPr>
        <w:t>m</w:t>
      </w:r>
      <w:r w:rsidRPr="00D926D5">
        <w:rPr>
          <w:rFonts w:ascii="Arial" w:hAnsi="Arial" w:cs="Arial"/>
          <w:b/>
          <w:bCs/>
          <w:spacing w:val="1"/>
          <w:sz w:val="24"/>
          <w:szCs w:val="24"/>
          <w:lang w:eastAsia="en-US"/>
        </w:rPr>
        <w:t>é</w:t>
      </w:r>
      <w:r w:rsidRPr="00D926D5">
        <w:rPr>
          <w:rFonts w:ascii="Arial" w:hAnsi="Arial" w:cs="Arial"/>
          <w:b/>
          <w:bCs/>
          <w:sz w:val="24"/>
          <w:szCs w:val="24"/>
          <w:lang w:eastAsia="en-US"/>
        </w:rPr>
        <w:t>di</w:t>
      </w:r>
      <w:r w:rsidRPr="00D926D5">
        <w:rPr>
          <w:rFonts w:ascii="Arial" w:hAnsi="Arial" w:cs="Arial"/>
          <w:b/>
          <w:bCs/>
          <w:spacing w:val="1"/>
          <w:sz w:val="24"/>
          <w:szCs w:val="24"/>
          <w:lang w:eastAsia="en-US"/>
        </w:rPr>
        <w:t>c</w:t>
      </w:r>
      <w:r w:rsidRPr="00D926D5">
        <w:rPr>
          <w:rFonts w:ascii="Arial" w:hAnsi="Arial" w:cs="Arial"/>
          <w:b/>
          <w:bCs/>
          <w:sz w:val="24"/>
          <w:szCs w:val="24"/>
          <w:lang w:eastAsia="en-US"/>
        </w:rPr>
        <w:t>os</w:t>
      </w:r>
      <w:r w:rsidRPr="00D926D5">
        <w:rPr>
          <w:rFonts w:ascii="Arial" w:hAnsi="Arial" w:cs="Arial"/>
          <w:b/>
          <w:bCs/>
          <w:spacing w:val="-1"/>
          <w:sz w:val="24"/>
          <w:szCs w:val="24"/>
          <w:lang w:eastAsia="en-US"/>
        </w:rPr>
        <w:t xml:space="preserve"> </w:t>
      </w:r>
      <w:r w:rsidRPr="00D926D5">
        <w:rPr>
          <w:rFonts w:ascii="Arial" w:hAnsi="Arial" w:cs="Arial"/>
          <w:b/>
          <w:bCs/>
          <w:spacing w:val="1"/>
          <w:sz w:val="24"/>
          <w:szCs w:val="24"/>
          <w:lang w:eastAsia="en-US"/>
        </w:rPr>
        <w:t>e</w:t>
      </w:r>
      <w:r w:rsidRPr="00D926D5">
        <w:rPr>
          <w:rFonts w:ascii="Arial" w:hAnsi="Arial" w:cs="Arial"/>
          <w:b/>
          <w:bCs/>
          <w:sz w:val="24"/>
          <w:szCs w:val="24"/>
          <w:lang w:eastAsia="en-US"/>
        </w:rPr>
        <w:t>n</w:t>
      </w:r>
      <w:r w:rsidRPr="00D926D5">
        <w:rPr>
          <w:rFonts w:ascii="Arial" w:hAnsi="Arial" w:cs="Arial"/>
          <w:b/>
          <w:bCs/>
          <w:spacing w:val="-1"/>
          <w:sz w:val="24"/>
          <w:szCs w:val="24"/>
          <w:lang w:eastAsia="en-US"/>
        </w:rPr>
        <w:t xml:space="preserve"> e</w:t>
      </w:r>
      <w:r w:rsidRPr="00D926D5">
        <w:rPr>
          <w:rFonts w:ascii="Arial" w:hAnsi="Arial" w:cs="Arial"/>
          <w:b/>
          <w:bCs/>
          <w:spacing w:val="1"/>
          <w:sz w:val="24"/>
          <w:szCs w:val="24"/>
          <w:lang w:eastAsia="en-US"/>
        </w:rPr>
        <w:t>xc</w:t>
      </w:r>
      <w:r w:rsidRPr="00D926D5">
        <w:rPr>
          <w:rFonts w:ascii="Arial" w:hAnsi="Arial" w:cs="Arial"/>
          <w:b/>
          <w:bCs/>
          <w:spacing w:val="-1"/>
          <w:sz w:val="24"/>
          <w:szCs w:val="24"/>
          <w:lang w:eastAsia="en-US"/>
        </w:rPr>
        <w:t>es</w:t>
      </w:r>
      <w:r w:rsidRPr="00D926D5">
        <w:rPr>
          <w:rFonts w:ascii="Arial" w:hAnsi="Arial" w:cs="Arial"/>
          <w:b/>
          <w:bCs/>
          <w:sz w:val="24"/>
          <w:szCs w:val="24"/>
          <w:lang w:eastAsia="en-US"/>
        </w:rPr>
        <w:t>o</w:t>
      </w:r>
      <w:r w:rsidRPr="00D926D5">
        <w:rPr>
          <w:rFonts w:ascii="Arial" w:hAnsi="Arial" w:cs="Arial"/>
          <w:bCs/>
          <w:sz w:val="24"/>
          <w:szCs w:val="24"/>
          <w:lang w:eastAsia="en-US"/>
        </w:rPr>
        <w:t xml:space="preserve">: </w:t>
      </w:r>
      <w:r w:rsidRPr="00D926D5">
        <w:rPr>
          <w:rFonts w:ascii="Arial" w:hAnsi="Arial" w:cs="Arial"/>
          <w:szCs w:val="20"/>
          <w:lang w:eastAsia="en-US"/>
        </w:rPr>
        <w:t>opera después de agotarse la cobertura hasta la</w:t>
      </w:r>
      <w:r w:rsidRPr="00C3256A">
        <w:rPr>
          <w:rFonts w:ascii="Arial" w:hAnsi="Arial" w:cs="Arial"/>
          <w:szCs w:val="20"/>
          <w:lang w:eastAsia="en-US"/>
        </w:rPr>
        <w:t xml:space="preserve"> suma máxima por evento y por ocupante, de $600,000.00 M.N. y con un límite máximo anual de $1´000,000.00 M.N. sin aplicación de ningún deducible o coaseguro.</w:t>
      </w:r>
    </w:p>
    <w:p w:rsidR="00C3256A" w:rsidRPr="00C3256A" w:rsidRDefault="00C3256A" w:rsidP="00C3256A">
      <w:pPr>
        <w:spacing w:before="100" w:after="200" w:line="276" w:lineRule="auto"/>
        <w:ind w:left="720"/>
        <w:contextualSpacing/>
        <w:rPr>
          <w:rFonts w:ascii="Arial" w:hAnsi="Arial" w:cs="Arial"/>
          <w:szCs w:val="20"/>
          <w:lang w:eastAsia="en-US"/>
        </w:rPr>
      </w:pPr>
    </w:p>
    <w:p w:rsidR="00C3256A" w:rsidRPr="00C3256A" w:rsidRDefault="00C3256A" w:rsidP="00D926D5">
      <w:pPr>
        <w:widowControl w:val="0"/>
        <w:numPr>
          <w:ilvl w:val="0"/>
          <w:numId w:val="17"/>
        </w:numPr>
        <w:autoSpaceDE w:val="0"/>
        <w:autoSpaceDN w:val="0"/>
        <w:adjustRightInd w:val="0"/>
        <w:spacing w:before="100" w:after="0" w:line="240" w:lineRule="auto"/>
        <w:ind w:right="62"/>
        <w:contextualSpacing/>
        <w:jc w:val="both"/>
        <w:rPr>
          <w:rFonts w:ascii="Arial" w:hAnsi="Arial" w:cs="Arial"/>
          <w:szCs w:val="20"/>
          <w:lang w:eastAsia="en-US"/>
        </w:rPr>
      </w:pPr>
      <w:r w:rsidRPr="00C3256A">
        <w:rPr>
          <w:rFonts w:ascii="Arial" w:hAnsi="Arial" w:cs="Arial"/>
          <w:b/>
          <w:sz w:val="24"/>
          <w:szCs w:val="24"/>
          <w:lang w:eastAsia="en-US"/>
        </w:rPr>
        <w:lastRenderedPageBreak/>
        <w:t>Asistencia jurídica</w:t>
      </w:r>
      <w:r w:rsidRPr="00C3256A">
        <w:rPr>
          <w:rFonts w:ascii="Arial" w:hAnsi="Arial" w:cs="Arial"/>
          <w:sz w:val="24"/>
          <w:szCs w:val="24"/>
          <w:lang w:eastAsia="en-US"/>
        </w:rPr>
        <w:t xml:space="preserve">; </w:t>
      </w:r>
      <w:r w:rsidRPr="00C3256A">
        <w:rPr>
          <w:rFonts w:ascii="Arial" w:hAnsi="Arial" w:cs="Arial"/>
          <w:szCs w:val="20"/>
          <w:lang w:eastAsia="en-US"/>
        </w:rPr>
        <w:t>se acepta que el asegurado pueda contratar en forma directa la compañía afianzadora y su cobertura.</w:t>
      </w:r>
    </w:p>
    <w:p w:rsidR="00C3256A" w:rsidRPr="00C3256A" w:rsidRDefault="00C3256A" w:rsidP="00C3256A">
      <w:pPr>
        <w:widowControl w:val="0"/>
        <w:autoSpaceDE w:val="0"/>
        <w:autoSpaceDN w:val="0"/>
        <w:adjustRightInd w:val="0"/>
        <w:spacing w:before="100" w:after="0" w:line="240" w:lineRule="auto"/>
        <w:ind w:left="720" w:right="55"/>
        <w:contextualSpacing/>
        <w:jc w:val="both"/>
        <w:rPr>
          <w:rFonts w:ascii="Arial" w:hAnsi="Arial" w:cs="Arial"/>
          <w:szCs w:val="20"/>
          <w:lang w:eastAsia="en-US"/>
        </w:rPr>
      </w:pPr>
    </w:p>
    <w:p w:rsidR="00C3256A" w:rsidRPr="00C3256A" w:rsidRDefault="00C3256A" w:rsidP="00C3256A">
      <w:pPr>
        <w:widowControl w:val="0"/>
        <w:numPr>
          <w:ilvl w:val="0"/>
          <w:numId w:val="17"/>
        </w:numPr>
        <w:autoSpaceDE w:val="0"/>
        <w:autoSpaceDN w:val="0"/>
        <w:adjustRightInd w:val="0"/>
        <w:spacing w:before="17" w:after="0" w:line="260" w:lineRule="exact"/>
        <w:contextualSpacing/>
        <w:jc w:val="both"/>
        <w:rPr>
          <w:rFonts w:ascii="Arial" w:hAnsi="Arial" w:cs="Arial"/>
          <w:sz w:val="24"/>
          <w:szCs w:val="24"/>
          <w:lang w:eastAsia="en-US"/>
        </w:rPr>
      </w:pPr>
      <w:r w:rsidRPr="00C3256A">
        <w:rPr>
          <w:rFonts w:ascii="Arial" w:hAnsi="Arial" w:cs="Arial"/>
          <w:b/>
          <w:sz w:val="24"/>
          <w:szCs w:val="24"/>
          <w:lang w:eastAsia="en-US"/>
        </w:rPr>
        <w:t>Robo de Autopartes:</w:t>
      </w:r>
      <w:r w:rsidRPr="00C3256A">
        <w:rPr>
          <w:rFonts w:ascii="Arial" w:hAnsi="Arial" w:cs="Arial"/>
          <w:sz w:val="24"/>
          <w:szCs w:val="24"/>
          <w:lang w:eastAsia="en-US"/>
        </w:rPr>
        <w:t xml:space="preserve"> Se considerará el robo de autopartes cualquier parte de la unidad asegurada. La aseguradora está obligada en reponer la o las partes que conforman la unidad. El asegurado pagara el 10% del valor de la pieza sustraída.</w:t>
      </w:r>
    </w:p>
    <w:p w:rsidR="00C3256A" w:rsidRPr="00C3256A" w:rsidRDefault="00C3256A" w:rsidP="00C3256A">
      <w:pPr>
        <w:spacing w:before="100" w:after="200" w:line="276" w:lineRule="auto"/>
        <w:ind w:left="720"/>
        <w:contextualSpacing/>
        <w:rPr>
          <w:rFonts w:ascii="Arial" w:hAnsi="Arial" w:cs="Arial"/>
          <w:sz w:val="24"/>
          <w:szCs w:val="24"/>
          <w:lang w:eastAsia="en-US"/>
        </w:rPr>
      </w:pPr>
    </w:p>
    <w:p w:rsidR="00C3256A" w:rsidRPr="00C3256A" w:rsidRDefault="00C3256A" w:rsidP="00C3256A">
      <w:pPr>
        <w:widowControl w:val="0"/>
        <w:numPr>
          <w:ilvl w:val="0"/>
          <w:numId w:val="17"/>
        </w:numPr>
        <w:autoSpaceDE w:val="0"/>
        <w:autoSpaceDN w:val="0"/>
        <w:adjustRightInd w:val="0"/>
        <w:spacing w:before="17" w:after="0" w:line="260" w:lineRule="exact"/>
        <w:contextualSpacing/>
        <w:jc w:val="both"/>
        <w:rPr>
          <w:rFonts w:ascii="Arial" w:hAnsi="Arial" w:cs="Arial"/>
          <w:sz w:val="24"/>
          <w:szCs w:val="24"/>
          <w:lang w:eastAsia="en-US"/>
        </w:rPr>
      </w:pPr>
      <w:r w:rsidRPr="00C3256A">
        <w:rPr>
          <w:rFonts w:ascii="Arial" w:hAnsi="Arial" w:cs="Arial"/>
          <w:b/>
          <w:bCs/>
          <w:spacing w:val="1"/>
          <w:sz w:val="24"/>
          <w:szCs w:val="24"/>
          <w:lang w:eastAsia="en-US"/>
        </w:rPr>
        <w:t>Se</w:t>
      </w:r>
      <w:r w:rsidRPr="00C3256A">
        <w:rPr>
          <w:rFonts w:ascii="Arial" w:hAnsi="Arial" w:cs="Arial"/>
          <w:b/>
          <w:bCs/>
          <w:sz w:val="24"/>
          <w:szCs w:val="24"/>
          <w:lang w:eastAsia="en-US"/>
        </w:rPr>
        <w:t>guro</w:t>
      </w:r>
      <w:r w:rsidRPr="00C3256A">
        <w:rPr>
          <w:rFonts w:ascii="Arial" w:hAnsi="Arial" w:cs="Arial"/>
          <w:b/>
          <w:bCs/>
          <w:spacing w:val="8"/>
          <w:sz w:val="24"/>
          <w:szCs w:val="24"/>
          <w:lang w:eastAsia="en-US"/>
        </w:rPr>
        <w:t xml:space="preserve"> </w:t>
      </w:r>
      <w:r w:rsidRPr="00C3256A">
        <w:rPr>
          <w:rFonts w:ascii="Arial" w:hAnsi="Arial" w:cs="Arial"/>
          <w:b/>
          <w:bCs/>
          <w:sz w:val="24"/>
          <w:szCs w:val="24"/>
          <w:lang w:eastAsia="en-US"/>
        </w:rPr>
        <w:t>de</w:t>
      </w:r>
      <w:r w:rsidRPr="00C3256A">
        <w:rPr>
          <w:rFonts w:ascii="Arial" w:hAnsi="Arial" w:cs="Arial"/>
          <w:b/>
          <w:bCs/>
          <w:spacing w:val="13"/>
          <w:sz w:val="24"/>
          <w:szCs w:val="24"/>
          <w:lang w:eastAsia="en-US"/>
        </w:rPr>
        <w:t xml:space="preserve"> </w:t>
      </w:r>
      <w:r w:rsidRPr="00C3256A">
        <w:rPr>
          <w:rFonts w:ascii="Arial" w:hAnsi="Arial" w:cs="Arial"/>
          <w:b/>
          <w:bCs/>
          <w:spacing w:val="1"/>
          <w:sz w:val="24"/>
          <w:szCs w:val="24"/>
          <w:lang w:eastAsia="en-US"/>
        </w:rPr>
        <w:t>v</w:t>
      </w:r>
      <w:r w:rsidRPr="00C3256A">
        <w:rPr>
          <w:rFonts w:ascii="Arial" w:hAnsi="Arial" w:cs="Arial"/>
          <w:b/>
          <w:bCs/>
          <w:sz w:val="24"/>
          <w:szCs w:val="24"/>
          <w:lang w:eastAsia="en-US"/>
        </w:rPr>
        <w:t>ida</w:t>
      </w:r>
      <w:r w:rsidRPr="00C3256A">
        <w:rPr>
          <w:rFonts w:ascii="Arial" w:hAnsi="Arial" w:cs="Arial"/>
          <w:b/>
          <w:bCs/>
          <w:spacing w:val="16"/>
          <w:sz w:val="24"/>
          <w:szCs w:val="24"/>
          <w:lang w:eastAsia="en-US"/>
        </w:rPr>
        <w:t xml:space="preserve"> </w:t>
      </w:r>
      <w:r w:rsidRPr="00C3256A">
        <w:rPr>
          <w:rFonts w:ascii="Arial" w:hAnsi="Arial" w:cs="Arial"/>
          <w:b/>
          <w:bCs/>
          <w:spacing w:val="-3"/>
          <w:sz w:val="24"/>
          <w:szCs w:val="24"/>
          <w:lang w:eastAsia="en-US"/>
        </w:rPr>
        <w:t>d</w:t>
      </w:r>
      <w:r w:rsidRPr="00C3256A">
        <w:rPr>
          <w:rFonts w:ascii="Arial" w:hAnsi="Arial" w:cs="Arial"/>
          <w:b/>
          <w:bCs/>
          <w:spacing w:val="1"/>
          <w:sz w:val="24"/>
          <w:szCs w:val="24"/>
          <w:lang w:eastAsia="en-US"/>
        </w:rPr>
        <w:t>e</w:t>
      </w:r>
      <w:r w:rsidRPr="00C3256A">
        <w:rPr>
          <w:rFonts w:ascii="Arial" w:hAnsi="Arial" w:cs="Arial"/>
          <w:b/>
          <w:bCs/>
          <w:spacing w:val="2"/>
          <w:sz w:val="24"/>
          <w:szCs w:val="24"/>
          <w:lang w:eastAsia="en-US"/>
        </w:rPr>
        <w:t xml:space="preserve">l </w:t>
      </w:r>
      <w:r w:rsidRPr="00C3256A">
        <w:rPr>
          <w:rFonts w:ascii="Arial" w:hAnsi="Arial" w:cs="Arial"/>
          <w:b/>
          <w:bCs/>
          <w:sz w:val="24"/>
          <w:szCs w:val="24"/>
          <w:lang w:eastAsia="en-US"/>
        </w:rPr>
        <w:t>(</w:t>
      </w:r>
      <w:r w:rsidRPr="00C3256A">
        <w:rPr>
          <w:rFonts w:ascii="Arial" w:hAnsi="Arial" w:cs="Arial"/>
          <w:b/>
          <w:bCs/>
          <w:spacing w:val="-1"/>
          <w:sz w:val="24"/>
          <w:szCs w:val="24"/>
          <w:lang w:eastAsia="en-US"/>
        </w:rPr>
        <w:t>d</w:t>
      </w:r>
      <w:r w:rsidRPr="00C3256A">
        <w:rPr>
          <w:rFonts w:ascii="Arial" w:hAnsi="Arial" w:cs="Arial"/>
          <w:b/>
          <w:bCs/>
          <w:sz w:val="24"/>
          <w:szCs w:val="24"/>
          <w:lang w:eastAsia="en-US"/>
        </w:rPr>
        <w:t>e</w:t>
      </w:r>
      <w:r w:rsidRPr="00C3256A">
        <w:rPr>
          <w:rFonts w:ascii="Arial" w:hAnsi="Arial" w:cs="Arial"/>
          <w:b/>
          <w:bCs/>
          <w:spacing w:val="12"/>
          <w:sz w:val="24"/>
          <w:szCs w:val="24"/>
          <w:lang w:eastAsia="en-US"/>
        </w:rPr>
        <w:t xml:space="preserve"> </w:t>
      </w:r>
      <w:r w:rsidRPr="00C3256A">
        <w:rPr>
          <w:rFonts w:ascii="Arial" w:hAnsi="Arial" w:cs="Arial"/>
          <w:b/>
          <w:bCs/>
          <w:spacing w:val="-2"/>
          <w:sz w:val="24"/>
          <w:szCs w:val="24"/>
          <w:lang w:eastAsia="en-US"/>
        </w:rPr>
        <w:t>l</w:t>
      </w:r>
      <w:r w:rsidRPr="00C3256A">
        <w:rPr>
          <w:rFonts w:ascii="Arial" w:hAnsi="Arial" w:cs="Arial"/>
          <w:b/>
          <w:bCs/>
          <w:spacing w:val="1"/>
          <w:sz w:val="24"/>
          <w:szCs w:val="24"/>
          <w:lang w:eastAsia="en-US"/>
        </w:rPr>
        <w:t>a</w:t>
      </w:r>
      <w:r w:rsidRPr="00C3256A">
        <w:rPr>
          <w:rFonts w:ascii="Arial" w:hAnsi="Arial" w:cs="Arial"/>
          <w:b/>
          <w:bCs/>
          <w:sz w:val="24"/>
          <w:szCs w:val="24"/>
          <w:lang w:eastAsia="en-US"/>
        </w:rPr>
        <w:t>)</w:t>
      </w:r>
      <w:r w:rsidRPr="00C3256A">
        <w:rPr>
          <w:rFonts w:ascii="Arial" w:hAnsi="Arial" w:cs="Arial"/>
          <w:b/>
          <w:bCs/>
          <w:spacing w:val="14"/>
          <w:sz w:val="24"/>
          <w:szCs w:val="24"/>
          <w:lang w:eastAsia="en-US"/>
        </w:rPr>
        <w:t xml:space="preserve"> </w:t>
      </w:r>
      <w:r w:rsidRPr="00C3256A">
        <w:rPr>
          <w:rFonts w:ascii="Arial" w:hAnsi="Arial" w:cs="Arial"/>
          <w:b/>
          <w:bCs/>
          <w:spacing w:val="1"/>
          <w:sz w:val="24"/>
          <w:szCs w:val="24"/>
          <w:lang w:eastAsia="en-US"/>
        </w:rPr>
        <w:t>c</w:t>
      </w:r>
      <w:r w:rsidRPr="00C3256A">
        <w:rPr>
          <w:rFonts w:ascii="Arial" w:hAnsi="Arial" w:cs="Arial"/>
          <w:b/>
          <w:bCs/>
          <w:sz w:val="24"/>
          <w:szCs w:val="24"/>
          <w:lang w:eastAsia="en-US"/>
        </w:rPr>
        <w:t>on</w:t>
      </w:r>
      <w:r w:rsidRPr="00C3256A">
        <w:rPr>
          <w:rFonts w:ascii="Arial" w:hAnsi="Arial" w:cs="Arial"/>
          <w:b/>
          <w:bCs/>
          <w:spacing w:val="-1"/>
          <w:sz w:val="24"/>
          <w:szCs w:val="24"/>
          <w:lang w:eastAsia="en-US"/>
        </w:rPr>
        <w:t>d</w:t>
      </w:r>
      <w:r w:rsidRPr="00C3256A">
        <w:rPr>
          <w:rFonts w:ascii="Arial" w:hAnsi="Arial" w:cs="Arial"/>
          <w:b/>
          <w:bCs/>
          <w:sz w:val="24"/>
          <w:szCs w:val="24"/>
          <w:lang w:eastAsia="en-US"/>
        </w:rPr>
        <w:t xml:space="preserve">uctor(a) </w:t>
      </w:r>
      <w:r w:rsidRPr="00C3256A">
        <w:rPr>
          <w:rFonts w:ascii="Arial" w:hAnsi="Arial" w:cs="Arial"/>
          <w:b/>
          <w:bCs/>
          <w:color w:val="000000"/>
          <w:sz w:val="24"/>
          <w:szCs w:val="24"/>
          <w:lang w:eastAsia="en-US"/>
        </w:rPr>
        <w:t>y ocupante(s):</w:t>
      </w:r>
      <w:r w:rsidRPr="00C3256A">
        <w:rPr>
          <w:rFonts w:ascii="Arial" w:hAnsi="Arial" w:cs="Arial"/>
          <w:b/>
          <w:bCs/>
          <w:spacing w:val="2"/>
          <w:sz w:val="24"/>
          <w:szCs w:val="24"/>
          <w:lang w:eastAsia="en-US"/>
        </w:rPr>
        <w:t xml:space="preserve"> </w:t>
      </w:r>
      <w:r w:rsidRPr="00C3256A">
        <w:rPr>
          <w:rFonts w:ascii="Arial" w:hAnsi="Arial" w:cs="Arial"/>
          <w:szCs w:val="20"/>
          <w:lang w:eastAsia="en-US"/>
        </w:rPr>
        <w:t>en el caso de un accidente donde el(la) conductor(a) y ocupante(s) de la unidad fallezca(n), estará(n) cubierto por $200,000.00 m.n. (se refiere a la cobertura de muerte accidental del (de la) conductor(a), debiendo siempre ser especificado en el resguardo del vehículo, quién es el beneficiario designado por el conductor(a) y ocupante(s) que lo acompañe (n).</w:t>
      </w:r>
    </w:p>
    <w:p w:rsidR="00C3256A" w:rsidRPr="00C3256A" w:rsidRDefault="00C3256A" w:rsidP="00C3256A">
      <w:pPr>
        <w:spacing w:before="100" w:after="200" w:line="276" w:lineRule="auto"/>
        <w:jc w:val="both"/>
        <w:rPr>
          <w:rFonts w:ascii="Arial" w:hAnsi="Arial" w:cs="Arial"/>
          <w:szCs w:val="20"/>
          <w:lang w:eastAsia="en-US"/>
        </w:rPr>
      </w:pPr>
      <w:r w:rsidRPr="00C3256A">
        <w:rPr>
          <w:rFonts w:ascii="Arial" w:hAnsi="Arial" w:cs="Arial"/>
          <w:szCs w:val="20"/>
          <w:lang w:eastAsia="en-US"/>
        </w:rPr>
        <w:t>La compañía de seguros pagará el 100% de las pérdidas registradas en la anualidad, sin aplicación de proporcionalidad alguna arriba de los deducibles y coaseguros, hasta el valor del vehículo dañado, pero sin rebasar el límite y sub límite de la tabla de coberturas</w:t>
      </w:r>
    </w:p>
    <w:p w:rsidR="00C3256A" w:rsidRPr="00C3256A" w:rsidRDefault="00C3256A" w:rsidP="00C3256A">
      <w:pPr>
        <w:spacing w:before="100" w:after="200" w:line="276" w:lineRule="auto"/>
        <w:jc w:val="both"/>
        <w:rPr>
          <w:rFonts w:ascii="Arial" w:hAnsi="Arial" w:cs="Arial"/>
          <w:szCs w:val="20"/>
          <w:lang w:eastAsia="en-US"/>
        </w:rPr>
      </w:pPr>
      <w:r w:rsidRPr="00C3256A">
        <w:rPr>
          <w:rFonts w:ascii="Arial" w:hAnsi="Arial" w:cs="Arial"/>
          <w:szCs w:val="20"/>
          <w:lang w:eastAsia="en-US"/>
        </w:rPr>
        <w:t>Durante la vigencia del contrato de seguro resultado de la presente licitación, no se cobrará los siguientes conceptos:</w:t>
      </w:r>
    </w:p>
    <w:p w:rsidR="00C3256A" w:rsidRPr="00C3256A" w:rsidRDefault="00C3256A" w:rsidP="00C3256A">
      <w:pPr>
        <w:numPr>
          <w:ilvl w:val="0"/>
          <w:numId w:val="12"/>
        </w:numPr>
        <w:spacing w:before="100" w:after="200" w:line="276" w:lineRule="auto"/>
        <w:contextualSpacing/>
        <w:jc w:val="both"/>
        <w:rPr>
          <w:rFonts w:ascii="Arial" w:hAnsi="Arial" w:cs="Arial"/>
          <w:szCs w:val="20"/>
          <w:lang w:eastAsia="en-US"/>
        </w:rPr>
      </w:pPr>
      <w:r w:rsidRPr="00C3256A">
        <w:rPr>
          <w:rFonts w:ascii="Arial" w:hAnsi="Arial" w:cs="Arial"/>
          <w:szCs w:val="20"/>
          <w:lang w:eastAsia="en-US"/>
        </w:rPr>
        <w:t>Altas posteriores al inicio de la vigencia de nuevos bienes asegurados (refriéndose al derecho de póliza);</w:t>
      </w:r>
    </w:p>
    <w:p w:rsidR="00C3256A" w:rsidRPr="00C3256A" w:rsidRDefault="00C3256A" w:rsidP="00C3256A">
      <w:pPr>
        <w:numPr>
          <w:ilvl w:val="0"/>
          <w:numId w:val="12"/>
        </w:numPr>
        <w:spacing w:before="100" w:after="200" w:line="276" w:lineRule="auto"/>
        <w:contextualSpacing/>
        <w:jc w:val="both"/>
        <w:rPr>
          <w:rFonts w:ascii="Arial" w:hAnsi="Arial" w:cs="Arial"/>
          <w:szCs w:val="20"/>
          <w:lang w:eastAsia="en-US"/>
        </w:rPr>
      </w:pPr>
      <w:r w:rsidRPr="00C3256A">
        <w:rPr>
          <w:rFonts w:ascii="Arial" w:hAnsi="Arial" w:cs="Arial"/>
          <w:szCs w:val="20"/>
          <w:lang w:eastAsia="en-US"/>
        </w:rPr>
        <w:t xml:space="preserve">Reexpedición de pólizas; y </w:t>
      </w:r>
    </w:p>
    <w:p w:rsidR="00C3256A" w:rsidRPr="00C3256A" w:rsidRDefault="00C3256A" w:rsidP="00C3256A">
      <w:pPr>
        <w:numPr>
          <w:ilvl w:val="0"/>
          <w:numId w:val="12"/>
        </w:numPr>
        <w:spacing w:before="100" w:after="200" w:line="276" w:lineRule="auto"/>
        <w:contextualSpacing/>
        <w:jc w:val="both"/>
        <w:rPr>
          <w:rFonts w:ascii="Arial" w:hAnsi="Arial" w:cs="Arial"/>
          <w:szCs w:val="20"/>
          <w:lang w:eastAsia="en-US"/>
        </w:rPr>
      </w:pPr>
      <w:r w:rsidRPr="00C3256A">
        <w:rPr>
          <w:rFonts w:ascii="Arial" w:hAnsi="Arial" w:cs="Arial"/>
          <w:szCs w:val="20"/>
          <w:lang w:eastAsia="en-US"/>
        </w:rPr>
        <w:t>Duplicados de pólizas.</w:t>
      </w:r>
    </w:p>
    <w:p w:rsidR="00C3256A" w:rsidRPr="00C3256A" w:rsidRDefault="00C3256A" w:rsidP="00C3256A">
      <w:pPr>
        <w:widowControl w:val="0"/>
        <w:numPr>
          <w:ilvl w:val="0"/>
          <w:numId w:val="17"/>
        </w:numPr>
        <w:autoSpaceDE w:val="0"/>
        <w:autoSpaceDN w:val="0"/>
        <w:adjustRightInd w:val="0"/>
        <w:spacing w:before="100" w:after="0" w:line="240" w:lineRule="auto"/>
        <w:jc w:val="both"/>
        <w:rPr>
          <w:rFonts w:ascii="Arial" w:hAnsi="Arial" w:cs="Arial"/>
          <w:sz w:val="24"/>
          <w:szCs w:val="24"/>
          <w:lang w:eastAsia="en-US"/>
        </w:rPr>
      </w:pPr>
      <w:r w:rsidRPr="00C3256A">
        <w:rPr>
          <w:rFonts w:ascii="Arial" w:hAnsi="Arial" w:cs="Arial"/>
          <w:b/>
          <w:bCs/>
          <w:sz w:val="24"/>
          <w:szCs w:val="24"/>
          <w:lang w:eastAsia="en-US"/>
        </w:rPr>
        <w:t>Liquid</w:t>
      </w:r>
      <w:r w:rsidRPr="00C3256A">
        <w:rPr>
          <w:rFonts w:ascii="Arial" w:hAnsi="Arial" w:cs="Arial"/>
          <w:b/>
          <w:bCs/>
          <w:spacing w:val="-1"/>
          <w:sz w:val="24"/>
          <w:szCs w:val="24"/>
          <w:lang w:eastAsia="en-US"/>
        </w:rPr>
        <w:t>a</w:t>
      </w:r>
      <w:r w:rsidRPr="00C3256A">
        <w:rPr>
          <w:rFonts w:ascii="Arial" w:hAnsi="Arial" w:cs="Arial"/>
          <w:b/>
          <w:bCs/>
          <w:spacing w:val="1"/>
          <w:sz w:val="24"/>
          <w:szCs w:val="24"/>
          <w:lang w:eastAsia="en-US"/>
        </w:rPr>
        <w:t>c</w:t>
      </w:r>
      <w:r w:rsidRPr="00C3256A">
        <w:rPr>
          <w:rFonts w:ascii="Arial" w:hAnsi="Arial" w:cs="Arial"/>
          <w:b/>
          <w:bCs/>
          <w:sz w:val="24"/>
          <w:szCs w:val="24"/>
          <w:lang w:eastAsia="en-US"/>
        </w:rPr>
        <w:t>ión</w:t>
      </w:r>
      <w:r w:rsidRPr="00C3256A">
        <w:rPr>
          <w:rFonts w:ascii="Arial" w:hAnsi="Arial" w:cs="Arial"/>
          <w:b/>
          <w:bCs/>
          <w:spacing w:val="-3"/>
          <w:sz w:val="24"/>
          <w:szCs w:val="24"/>
          <w:lang w:eastAsia="en-US"/>
        </w:rPr>
        <w:t xml:space="preserve"> </w:t>
      </w:r>
      <w:r w:rsidRPr="00C3256A">
        <w:rPr>
          <w:rFonts w:ascii="Arial" w:hAnsi="Arial" w:cs="Arial"/>
          <w:b/>
          <w:bCs/>
          <w:sz w:val="24"/>
          <w:szCs w:val="24"/>
          <w:lang w:eastAsia="en-US"/>
        </w:rPr>
        <w:t>de</w:t>
      </w:r>
      <w:r w:rsidRPr="00C3256A">
        <w:rPr>
          <w:rFonts w:ascii="Arial" w:hAnsi="Arial" w:cs="Arial"/>
          <w:b/>
          <w:bCs/>
          <w:spacing w:val="1"/>
          <w:sz w:val="24"/>
          <w:szCs w:val="24"/>
          <w:lang w:eastAsia="en-US"/>
        </w:rPr>
        <w:t xml:space="preserve"> </w:t>
      </w:r>
      <w:r w:rsidRPr="00C3256A">
        <w:rPr>
          <w:rFonts w:ascii="Arial" w:hAnsi="Arial" w:cs="Arial"/>
          <w:b/>
          <w:bCs/>
          <w:spacing w:val="-2"/>
          <w:sz w:val="24"/>
          <w:szCs w:val="24"/>
          <w:lang w:eastAsia="en-US"/>
        </w:rPr>
        <w:t>p</w:t>
      </w:r>
      <w:r w:rsidRPr="00C3256A">
        <w:rPr>
          <w:rFonts w:ascii="Arial" w:hAnsi="Arial" w:cs="Arial"/>
          <w:b/>
          <w:bCs/>
          <w:spacing w:val="1"/>
          <w:sz w:val="24"/>
          <w:szCs w:val="24"/>
          <w:lang w:eastAsia="en-US"/>
        </w:rPr>
        <w:t>é</w:t>
      </w:r>
      <w:r w:rsidRPr="00C3256A">
        <w:rPr>
          <w:rFonts w:ascii="Arial" w:hAnsi="Arial" w:cs="Arial"/>
          <w:b/>
          <w:bCs/>
          <w:sz w:val="24"/>
          <w:szCs w:val="24"/>
          <w:lang w:eastAsia="en-US"/>
        </w:rPr>
        <w:t>rdi</w:t>
      </w:r>
      <w:r w:rsidRPr="00C3256A">
        <w:rPr>
          <w:rFonts w:ascii="Arial" w:hAnsi="Arial" w:cs="Arial"/>
          <w:b/>
          <w:bCs/>
          <w:spacing w:val="-2"/>
          <w:sz w:val="24"/>
          <w:szCs w:val="24"/>
          <w:lang w:eastAsia="en-US"/>
        </w:rPr>
        <w:t>d</w:t>
      </w:r>
      <w:r w:rsidRPr="00C3256A">
        <w:rPr>
          <w:rFonts w:ascii="Arial" w:hAnsi="Arial" w:cs="Arial"/>
          <w:b/>
          <w:bCs/>
          <w:spacing w:val="1"/>
          <w:sz w:val="24"/>
          <w:szCs w:val="24"/>
          <w:lang w:eastAsia="en-US"/>
        </w:rPr>
        <w:t>a</w:t>
      </w:r>
      <w:r w:rsidRPr="00C3256A">
        <w:rPr>
          <w:rFonts w:ascii="Arial" w:hAnsi="Arial" w:cs="Arial"/>
          <w:b/>
          <w:bCs/>
          <w:sz w:val="24"/>
          <w:szCs w:val="24"/>
          <w:lang w:eastAsia="en-US"/>
        </w:rPr>
        <w:t>s</w:t>
      </w:r>
      <w:r w:rsidRPr="00C3256A">
        <w:rPr>
          <w:rFonts w:ascii="Arial" w:hAnsi="Arial" w:cs="Arial"/>
          <w:b/>
          <w:bCs/>
          <w:spacing w:val="-4"/>
          <w:sz w:val="24"/>
          <w:szCs w:val="24"/>
          <w:lang w:eastAsia="en-US"/>
        </w:rPr>
        <w:t xml:space="preserve"> </w:t>
      </w:r>
      <w:r w:rsidRPr="00C3256A">
        <w:rPr>
          <w:rFonts w:ascii="Arial" w:hAnsi="Arial" w:cs="Arial"/>
          <w:b/>
          <w:bCs/>
          <w:sz w:val="24"/>
          <w:szCs w:val="24"/>
          <w:lang w:eastAsia="en-US"/>
        </w:rPr>
        <w:t>y</w:t>
      </w:r>
      <w:r w:rsidRPr="00C3256A">
        <w:rPr>
          <w:rFonts w:ascii="Arial" w:hAnsi="Arial" w:cs="Arial"/>
          <w:b/>
          <w:bCs/>
          <w:spacing w:val="-1"/>
          <w:sz w:val="24"/>
          <w:szCs w:val="24"/>
          <w:lang w:eastAsia="en-US"/>
        </w:rPr>
        <w:t xml:space="preserve"> </w:t>
      </w:r>
      <w:r w:rsidRPr="00C3256A">
        <w:rPr>
          <w:rFonts w:ascii="Arial" w:hAnsi="Arial" w:cs="Arial"/>
          <w:b/>
          <w:bCs/>
          <w:spacing w:val="1"/>
          <w:sz w:val="24"/>
          <w:szCs w:val="24"/>
          <w:lang w:eastAsia="en-US"/>
        </w:rPr>
        <w:t>a</w:t>
      </w:r>
      <w:r w:rsidRPr="00C3256A">
        <w:rPr>
          <w:rFonts w:ascii="Arial" w:hAnsi="Arial" w:cs="Arial"/>
          <w:b/>
          <w:bCs/>
          <w:sz w:val="24"/>
          <w:szCs w:val="24"/>
          <w:lang w:eastAsia="en-US"/>
        </w:rPr>
        <w:t>ten</w:t>
      </w:r>
      <w:r w:rsidRPr="00C3256A">
        <w:rPr>
          <w:rFonts w:ascii="Arial" w:hAnsi="Arial" w:cs="Arial"/>
          <w:b/>
          <w:bCs/>
          <w:spacing w:val="-1"/>
          <w:sz w:val="24"/>
          <w:szCs w:val="24"/>
          <w:lang w:eastAsia="en-US"/>
        </w:rPr>
        <w:t>c</w:t>
      </w:r>
      <w:r w:rsidRPr="00C3256A">
        <w:rPr>
          <w:rFonts w:ascii="Arial" w:hAnsi="Arial" w:cs="Arial"/>
          <w:b/>
          <w:bCs/>
          <w:sz w:val="24"/>
          <w:szCs w:val="24"/>
          <w:lang w:eastAsia="en-US"/>
        </w:rPr>
        <w:t>ión</w:t>
      </w:r>
      <w:r w:rsidRPr="00C3256A">
        <w:rPr>
          <w:rFonts w:ascii="Arial" w:hAnsi="Arial" w:cs="Arial"/>
          <w:b/>
          <w:bCs/>
          <w:spacing w:val="-3"/>
          <w:sz w:val="24"/>
          <w:szCs w:val="24"/>
          <w:lang w:eastAsia="en-US"/>
        </w:rPr>
        <w:t xml:space="preserve"> </w:t>
      </w:r>
      <w:r w:rsidRPr="00C3256A">
        <w:rPr>
          <w:rFonts w:ascii="Arial" w:hAnsi="Arial" w:cs="Arial"/>
          <w:b/>
          <w:bCs/>
          <w:sz w:val="24"/>
          <w:szCs w:val="24"/>
          <w:lang w:eastAsia="en-US"/>
        </w:rPr>
        <w:t>de</w:t>
      </w:r>
      <w:r w:rsidRPr="00C3256A">
        <w:rPr>
          <w:rFonts w:ascii="Arial" w:hAnsi="Arial" w:cs="Arial"/>
          <w:b/>
          <w:bCs/>
          <w:spacing w:val="1"/>
          <w:sz w:val="24"/>
          <w:szCs w:val="24"/>
          <w:lang w:eastAsia="en-US"/>
        </w:rPr>
        <w:t xml:space="preserve"> </w:t>
      </w:r>
      <w:r w:rsidRPr="00C3256A">
        <w:rPr>
          <w:rFonts w:ascii="Arial" w:hAnsi="Arial" w:cs="Arial"/>
          <w:b/>
          <w:bCs/>
          <w:spacing w:val="-1"/>
          <w:sz w:val="24"/>
          <w:szCs w:val="24"/>
          <w:lang w:eastAsia="en-US"/>
        </w:rPr>
        <w:t>s</w:t>
      </w:r>
      <w:r w:rsidRPr="00C3256A">
        <w:rPr>
          <w:rFonts w:ascii="Arial" w:hAnsi="Arial" w:cs="Arial"/>
          <w:b/>
          <w:bCs/>
          <w:sz w:val="24"/>
          <w:szCs w:val="24"/>
          <w:lang w:eastAsia="en-US"/>
        </w:rPr>
        <w:t>ini</w:t>
      </w:r>
      <w:r w:rsidRPr="00C3256A">
        <w:rPr>
          <w:rFonts w:ascii="Arial" w:hAnsi="Arial" w:cs="Arial"/>
          <w:b/>
          <w:bCs/>
          <w:spacing w:val="1"/>
          <w:sz w:val="24"/>
          <w:szCs w:val="24"/>
          <w:lang w:eastAsia="en-US"/>
        </w:rPr>
        <w:t>es</w:t>
      </w:r>
      <w:r w:rsidRPr="00C3256A">
        <w:rPr>
          <w:rFonts w:ascii="Arial" w:hAnsi="Arial" w:cs="Arial"/>
          <w:b/>
          <w:bCs/>
          <w:sz w:val="24"/>
          <w:szCs w:val="24"/>
          <w:lang w:eastAsia="en-US"/>
        </w:rPr>
        <w:t>tr</w:t>
      </w:r>
      <w:r w:rsidRPr="00C3256A">
        <w:rPr>
          <w:rFonts w:ascii="Arial" w:hAnsi="Arial" w:cs="Arial"/>
          <w:b/>
          <w:bCs/>
          <w:spacing w:val="-3"/>
          <w:sz w:val="24"/>
          <w:szCs w:val="24"/>
          <w:lang w:eastAsia="en-US"/>
        </w:rPr>
        <w:t>o</w:t>
      </w:r>
      <w:r w:rsidRPr="00C3256A">
        <w:rPr>
          <w:rFonts w:ascii="Arial" w:hAnsi="Arial" w:cs="Arial"/>
          <w:b/>
          <w:bCs/>
          <w:spacing w:val="1"/>
          <w:sz w:val="24"/>
          <w:szCs w:val="24"/>
          <w:lang w:eastAsia="en-US"/>
        </w:rPr>
        <w:t>s</w:t>
      </w:r>
      <w:r w:rsidRPr="00C3256A">
        <w:rPr>
          <w:rFonts w:ascii="Arial" w:hAnsi="Arial" w:cs="Arial"/>
          <w:b/>
          <w:bCs/>
          <w:sz w:val="24"/>
          <w:szCs w:val="24"/>
          <w:lang w:eastAsia="en-US"/>
        </w:rPr>
        <w:t>.</w:t>
      </w:r>
    </w:p>
    <w:p w:rsidR="00C3256A" w:rsidRPr="00C3256A" w:rsidRDefault="00C3256A" w:rsidP="00C3256A">
      <w:pPr>
        <w:widowControl w:val="0"/>
        <w:autoSpaceDE w:val="0"/>
        <w:autoSpaceDN w:val="0"/>
        <w:adjustRightInd w:val="0"/>
        <w:spacing w:before="14" w:after="0" w:line="260" w:lineRule="exact"/>
        <w:rPr>
          <w:rFonts w:ascii="Arial" w:hAnsi="Arial" w:cs="Arial"/>
          <w:sz w:val="24"/>
          <w:szCs w:val="24"/>
          <w:lang w:eastAsia="en-US"/>
        </w:rPr>
      </w:pPr>
    </w:p>
    <w:p w:rsidR="00C3256A" w:rsidRPr="00C3256A" w:rsidRDefault="00C3256A" w:rsidP="00C3256A">
      <w:pPr>
        <w:widowControl w:val="0"/>
        <w:numPr>
          <w:ilvl w:val="0"/>
          <w:numId w:val="18"/>
        </w:numPr>
        <w:autoSpaceDE w:val="0"/>
        <w:autoSpaceDN w:val="0"/>
        <w:adjustRightInd w:val="0"/>
        <w:spacing w:before="100" w:after="0" w:line="240" w:lineRule="auto"/>
        <w:ind w:right="70"/>
        <w:contextualSpacing/>
        <w:jc w:val="both"/>
        <w:rPr>
          <w:rFonts w:ascii="Arial" w:hAnsi="Arial" w:cs="Arial"/>
          <w:szCs w:val="20"/>
          <w:lang w:eastAsia="en-US"/>
        </w:rPr>
      </w:pPr>
      <w:r w:rsidRPr="00C3256A">
        <w:rPr>
          <w:rFonts w:ascii="Arial" w:hAnsi="Arial" w:cs="Arial"/>
          <w:szCs w:val="20"/>
          <w:lang w:eastAsia="en-US"/>
        </w:rPr>
        <w:t xml:space="preserve">Se pagará un 15% adicional al precio de venta establecido en las guías EBC y/o </w:t>
      </w:r>
      <w:proofErr w:type="spellStart"/>
      <w:r w:rsidRPr="00C3256A">
        <w:rPr>
          <w:rFonts w:ascii="Arial" w:hAnsi="Arial" w:cs="Arial"/>
          <w:szCs w:val="20"/>
          <w:lang w:eastAsia="en-US"/>
        </w:rPr>
        <w:t>Autométrica</w:t>
      </w:r>
      <w:proofErr w:type="spellEnd"/>
      <w:r w:rsidRPr="00C3256A">
        <w:rPr>
          <w:rFonts w:ascii="Arial" w:hAnsi="Arial" w:cs="Arial"/>
          <w:szCs w:val="20"/>
          <w:lang w:eastAsia="en-US"/>
        </w:rPr>
        <w:t xml:space="preserve"> a la fecha del siniestro, por concepto de robo total o pérdida total por daños materiales.</w:t>
      </w:r>
    </w:p>
    <w:p w:rsidR="00C3256A" w:rsidRPr="00C3256A" w:rsidRDefault="00C3256A" w:rsidP="00C3256A">
      <w:pPr>
        <w:widowControl w:val="0"/>
        <w:autoSpaceDE w:val="0"/>
        <w:autoSpaceDN w:val="0"/>
        <w:adjustRightInd w:val="0"/>
        <w:spacing w:before="100" w:after="0" w:line="240" w:lineRule="auto"/>
        <w:ind w:left="720" w:right="70"/>
        <w:contextualSpacing/>
        <w:jc w:val="both"/>
        <w:rPr>
          <w:rFonts w:ascii="Arial" w:hAnsi="Arial" w:cs="Arial"/>
          <w:szCs w:val="20"/>
          <w:lang w:eastAsia="en-US"/>
        </w:rPr>
      </w:pPr>
    </w:p>
    <w:p w:rsidR="00C3256A" w:rsidRPr="00C3256A" w:rsidRDefault="00C3256A" w:rsidP="00C3256A">
      <w:pPr>
        <w:widowControl w:val="0"/>
        <w:numPr>
          <w:ilvl w:val="0"/>
          <w:numId w:val="18"/>
        </w:numPr>
        <w:tabs>
          <w:tab w:val="left" w:pos="820"/>
        </w:tabs>
        <w:autoSpaceDE w:val="0"/>
        <w:autoSpaceDN w:val="0"/>
        <w:adjustRightInd w:val="0"/>
        <w:spacing w:before="100" w:after="0" w:line="240" w:lineRule="auto"/>
        <w:ind w:right="60"/>
        <w:contextualSpacing/>
        <w:jc w:val="both"/>
        <w:rPr>
          <w:rFonts w:ascii="Arial" w:hAnsi="Arial" w:cs="Arial"/>
          <w:szCs w:val="20"/>
          <w:lang w:eastAsia="en-US"/>
        </w:rPr>
      </w:pPr>
      <w:r w:rsidRPr="00C3256A">
        <w:rPr>
          <w:rFonts w:ascii="Arial" w:hAnsi="Arial" w:cs="Arial"/>
          <w:szCs w:val="20"/>
          <w:lang w:eastAsia="en-US"/>
        </w:rPr>
        <w:t>Pago de deducibles. - cuando ocurra un siniestro con costo de deducible, no siendo culpable el beneficiario del seguro (el asegurado), según apreciación del ajustador y el siniestro se vaya a juicio para su recuperación, éste no será pagado por el beneficiario del seguro.</w:t>
      </w:r>
    </w:p>
    <w:p w:rsidR="00C3256A" w:rsidRPr="00C3256A" w:rsidRDefault="00C3256A" w:rsidP="00C3256A">
      <w:pPr>
        <w:widowControl w:val="0"/>
        <w:autoSpaceDE w:val="0"/>
        <w:autoSpaceDN w:val="0"/>
        <w:adjustRightInd w:val="0"/>
        <w:spacing w:before="17" w:after="0" w:line="260" w:lineRule="exact"/>
        <w:ind w:left="720"/>
        <w:contextualSpacing/>
        <w:rPr>
          <w:rFonts w:ascii="Arial" w:hAnsi="Arial" w:cs="Arial"/>
          <w:szCs w:val="20"/>
          <w:lang w:eastAsia="en-US"/>
        </w:rPr>
      </w:pPr>
    </w:p>
    <w:p w:rsidR="00C3256A" w:rsidRPr="00C3256A" w:rsidRDefault="00C3256A" w:rsidP="00C3256A">
      <w:pPr>
        <w:widowControl w:val="0"/>
        <w:numPr>
          <w:ilvl w:val="0"/>
          <w:numId w:val="18"/>
        </w:numPr>
        <w:autoSpaceDE w:val="0"/>
        <w:autoSpaceDN w:val="0"/>
        <w:adjustRightInd w:val="0"/>
        <w:spacing w:before="100" w:after="0" w:line="239" w:lineRule="auto"/>
        <w:ind w:right="57"/>
        <w:contextualSpacing/>
        <w:jc w:val="both"/>
        <w:rPr>
          <w:rFonts w:ascii="Arial" w:hAnsi="Arial" w:cs="Arial"/>
          <w:szCs w:val="20"/>
          <w:lang w:eastAsia="en-US"/>
        </w:rPr>
      </w:pPr>
      <w:r w:rsidRPr="00C3256A">
        <w:rPr>
          <w:rFonts w:ascii="Arial" w:hAnsi="Arial" w:cs="Arial"/>
          <w:szCs w:val="20"/>
          <w:lang w:eastAsia="en-US"/>
        </w:rPr>
        <w:t xml:space="preserve">En el caso de pérdida total en el que el asegurado no pueda acreditar la propiedad de la unidad siniestrada y que gocen de cobertura amplia, la aseguradora acepta pagar el 100 % del valor del automóvil en base a las guías EBC y/o </w:t>
      </w:r>
      <w:proofErr w:type="spellStart"/>
      <w:r w:rsidRPr="00C3256A">
        <w:rPr>
          <w:rFonts w:ascii="Arial" w:hAnsi="Arial" w:cs="Arial"/>
          <w:szCs w:val="20"/>
          <w:lang w:eastAsia="en-US"/>
        </w:rPr>
        <w:t>Autométrica</w:t>
      </w:r>
      <w:proofErr w:type="spellEnd"/>
      <w:r w:rsidRPr="00C3256A">
        <w:rPr>
          <w:rFonts w:ascii="Arial" w:hAnsi="Arial" w:cs="Arial"/>
          <w:szCs w:val="20"/>
          <w:lang w:eastAsia="en-US"/>
        </w:rPr>
        <w:t xml:space="preserve"> quedándose la aseguradora con los restos.</w:t>
      </w:r>
    </w:p>
    <w:p w:rsidR="00C3256A" w:rsidRPr="00C3256A" w:rsidRDefault="00C3256A" w:rsidP="00C3256A">
      <w:pPr>
        <w:widowControl w:val="0"/>
        <w:autoSpaceDE w:val="0"/>
        <w:autoSpaceDN w:val="0"/>
        <w:adjustRightInd w:val="0"/>
        <w:spacing w:before="2" w:after="0" w:line="280" w:lineRule="exact"/>
        <w:ind w:left="720"/>
        <w:contextualSpacing/>
        <w:rPr>
          <w:rFonts w:ascii="Arial" w:hAnsi="Arial" w:cs="Arial"/>
          <w:szCs w:val="20"/>
          <w:lang w:eastAsia="en-US"/>
        </w:rPr>
      </w:pPr>
    </w:p>
    <w:p w:rsidR="00C3256A" w:rsidRPr="00C3256A" w:rsidRDefault="00C3256A" w:rsidP="00C3256A">
      <w:pPr>
        <w:widowControl w:val="0"/>
        <w:numPr>
          <w:ilvl w:val="0"/>
          <w:numId w:val="18"/>
        </w:numPr>
        <w:autoSpaceDE w:val="0"/>
        <w:autoSpaceDN w:val="0"/>
        <w:adjustRightInd w:val="0"/>
        <w:spacing w:before="100" w:after="0" w:line="274" w:lineRule="exact"/>
        <w:ind w:right="58"/>
        <w:contextualSpacing/>
        <w:jc w:val="both"/>
        <w:rPr>
          <w:rFonts w:ascii="Arial" w:hAnsi="Arial" w:cs="Arial"/>
          <w:szCs w:val="20"/>
          <w:lang w:eastAsia="en-US"/>
        </w:rPr>
      </w:pPr>
      <w:r w:rsidRPr="00C3256A">
        <w:rPr>
          <w:rFonts w:ascii="Arial" w:hAnsi="Arial" w:cs="Arial"/>
          <w:szCs w:val="20"/>
          <w:lang w:eastAsia="en-US"/>
        </w:rPr>
        <w:t>En el caso de pérdidas totales o robos, solo con presentar los últimos 5 pagos del refrendo vehicular, o con una carta certificada por la agencia donde se adquirió la(s) unidad(es) con la que acredite será suficiente para que se efectúe el pago por parte de la aseguradora.</w:t>
      </w:r>
    </w:p>
    <w:p w:rsidR="00C3256A" w:rsidRPr="00C3256A" w:rsidRDefault="00C3256A" w:rsidP="00C3256A">
      <w:pPr>
        <w:widowControl w:val="0"/>
        <w:autoSpaceDE w:val="0"/>
        <w:autoSpaceDN w:val="0"/>
        <w:adjustRightInd w:val="0"/>
        <w:spacing w:before="100" w:after="0" w:line="274" w:lineRule="exact"/>
        <w:ind w:left="720" w:right="58"/>
        <w:contextualSpacing/>
        <w:jc w:val="both"/>
        <w:rPr>
          <w:rFonts w:ascii="Arial" w:hAnsi="Arial" w:cs="Arial"/>
          <w:szCs w:val="20"/>
          <w:lang w:eastAsia="en-US"/>
        </w:rPr>
      </w:pPr>
    </w:p>
    <w:p w:rsidR="00C3256A" w:rsidRPr="00C3256A" w:rsidRDefault="00C3256A" w:rsidP="00C3256A">
      <w:pPr>
        <w:numPr>
          <w:ilvl w:val="0"/>
          <w:numId w:val="19"/>
        </w:numPr>
        <w:spacing w:before="100" w:after="200" w:line="276" w:lineRule="auto"/>
        <w:contextualSpacing/>
        <w:jc w:val="both"/>
        <w:rPr>
          <w:rFonts w:ascii="Arial" w:hAnsi="Arial" w:cs="Arial"/>
          <w:szCs w:val="20"/>
          <w:lang w:eastAsia="en-US"/>
        </w:rPr>
      </w:pPr>
      <w:r w:rsidRPr="00C3256A">
        <w:rPr>
          <w:rFonts w:ascii="Arial" w:hAnsi="Arial" w:cs="Arial"/>
          <w:szCs w:val="20"/>
          <w:lang w:eastAsia="en-US"/>
        </w:rPr>
        <w:t>Para las unidades de 3 ½ toneladas el conductor deberá contar con licencia de automovilista o chofer para cumplir con los términos de la póliza operando íntegramente la cobertura.</w:t>
      </w:r>
    </w:p>
    <w:p w:rsidR="00C3256A" w:rsidRPr="00C3256A" w:rsidRDefault="00C3256A" w:rsidP="00C3256A">
      <w:pPr>
        <w:spacing w:before="100" w:after="200" w:line="276" w:lineRule="auto"/>
        <w:ind w:left="720"/>
        <w:contextualSpacing/>
        <w:rPr>
          <w:rFonts w:ascii="Arial" w:hAnsi="Arial" w:cs="Arial"/>
          <w:szCs w:val="20"/>
          <w:lang w:eastAsia="en-US"/>
        </w:rPr>
      </w:pPr>
    </w:p>
    <w:p w:rsidR="00C3256A" w:rsidRDefault="00C3256A" w:rsidP="00C3256A">
      <w:pPr>
        <w:numPr>
          <w:ilvl w:val="0"/>
          <w:numId w:val="19"/>
        </w:numPr>
        <w:spacing w:before="100" w:after="200" w:line="276" w:lineRule="auto"/>
        <w:contextualSpacing/>
        <w:jc w:val="both"/>
        <w:rPr>
          <w:rFonts w:ascii="Arial" w:hAnsi="Arial" w:cs="Arial"/>
          <w:szCs w:val="20"/>
          <w:lang w:eastAsia="en-US"/>
        </w:rPr>
      </w:pPr>
      <w:r w:rsidRPr="00C3256A">
        <w:rPr>
          <w:rFonts w:ascii="Arial" w:hAnsi="Arial" w:cs="Arial"/>
          <w:szCs w:val="20"/>
          <w:lang w:eastAsia="en-US"/>
        </w:rPr>
        <w:lastRenderedPageBreak/>
        <w:t>Atención a siniestros por colisión en el lugar mismo de ocurrido, el ajustador de la compañía esté en un tiempo no mayor a 30 minutos después de notificado el siniestro o accidente, para la zona conurbada de Guadalajara; en el resto del Estado o en carreteras o caminos federales, estatales o pequeños poblados en 2 horas como máximo, de lo contrario la compañía de seguros absorberá la cantidad de $100.00 m.n. por cada minuto de retraso en relación al tiempo establecido hasta por un monto máximo de la prima que se le adjudique.</w:t>
      </w:r>
    </w:p>
    <w:p w:rsidR="00F66F46" w:rsidRDefault="00F66F46" w:rsidP="00F66F46">
      <w:pPr>
        <w:spacing w:before="100" w:after="200" w:line="276" w:lineRule="auto"/>
        <w:contextualSpacing/>
        <w:jc w:val="both"/>
        <w:rPr>
          <w:rFonts w:ascii="Arial" w:hAnsi="Arial" w:cs="Arial"/>
          <w:szCs w:val="20"/>
          <w:lang w:eastAsia="en-US"/>
        </w:rPr>
      </w:pPr>
    </w:p>
    <w:p w:rsidR="00C3256A" w:rsidRPr="00C3256A" w:rsidRDefault="00C3256A" w:rsidP="00C3256A">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9 </w:t>
      </w:r>
      <w:r w:rsidRPr="00C3256A">
        <w:rPr>
          <w:rFonts w:ascii="Arial" w:hAnsi="Arial" w:cs="Arial"/>
          <w:b/>
          <w:bCs/>
          <w:sz w:val="24"/>
          <w:szCs w:val="24"/>
        </w:rPr>
        <w:t>Reporte</w:t>
      </w:r>
      <w:r w:rsidRPr="00C3256A">
        <w:rPr>
          <w:rFonts w:ascii="Arial" w:hAnsi="Arial" w:cs="Arial"/>
          <w:b/>
          <w:bCs/>
          <w:spacing w:val="-6"/>
          <w:sz w:val="24"/>
          <w:szCs w:val="24"/>
        </w:rPr>
        <w:t xml:space="preserve"> </w:t>
      </w:r>
      <w:r w:rsidRPr="00C3256A">
        <w:rPr>
          <w:rFonts w:ascii="Arial" w:hAnsi="Arial" w:cs="Arial"/>
          <w:b/>
          <w:bCs/>
          <w:spacing w:val="-3"/>
          <w:sz w:val="24"/>
          <w:szCs w:val="24"/>
        </w:rPr>
        <w:t>d</w:t>
      </w:r>
      <w:r w:rsidRPr="00C3256A">
        <w:rPr>
          <w:rFonts w:ascii="Arial" w:hAnsi="Arial" w:cs="Arial"/>
          <w:b/>
          <w:bCs/>
          <w:sz w:val="24"/>
          <w:szCs w:val="24"/>
        </w:rPr>
        <w:t xml:space="preserve">e </w:t>
      </w:r>
      <w:r w:rsidRPr="00C3256A">
        <w:rPr>
          <w:rFonts w:ascii="Arial" w:hAnsi="Arial" w:cs="Arial"/>
          <w:b/>
          <w:bCs/>
          <w:spacing w:val="1"/>
          <w:sz w:val="24"/>
          <w:szCs w:val="24"/>
        </w:rPr>
        <w:t>s</w:t>
      </w:r>
      <w:r w:rsidRPr="00C3256A">
        <w:rPr>
          <w:rFonts w:ascii="Arial" w:hAnsi="Arial" w:cs="Arial"/>
          <w:b/>
          <w:bCs/>
          <w:sz w:val="24"/>
          <w:szCs w:val="24"/>
        </w:rPr>
        <w:t>in</w:t>
      </w:r>
      <w:r w:rsidRPr="00C3256A">
        <w:rPr>
          <w:rFonts w:ascii="Arial" w:hAnsi="Arial" w:cs="Arial"/>
          <w:b/>
          <w:bCs/>
          <w:spacing w:val="-2"/>
          <w:sz w:val="24"/>
          <w:szCs w:val="24"/>
        </w:rPr>
        <w:t>i</w:t>
      </w:r>
      <w:r w:rsidRPr="00C3256A">
        <w:rPr>
          <w:rFonts w:ascii="Arial" w:hAnsi="Arial" w:cs="Arial"/>
          <w:b/>
          <w:bCs/>
          <w:spacing w:val="1"/>
          <w:sz w:val="24"/>
          <w:szCs w:val="24"/>
        </w:rPr>
        <w:t>es</w:t>
      </w:r>
      <w:r w:rsidRPr="00C3256A">
        <w:rPr>
          <w:rFonts w:ascii="Arial" w:hAnsi="Arial" w:cs="Arial"/>
          <w:b/>
          <w:bCs/>
          <w:sz w:val="24"/>
          <w:szCs w:val="24"/>
        </w:rPr>
        <w:t>tr</w:t>
      </w:r>
      <w:r w:rsidRPr="00C3256A">
        <w:rPr>
          <w:rFonts w:ascii="Arial" w:hAnsi="Arial" w:cs="Arial"/>
          <w:b/>
          <w:bCs/>
          <w:spacing w:val="-2"/>
          <w:sz w:val="24"/>
          <w:szCs w:val="24"/>
        </w:rPr>
        <w:t>a</w:t>
      </w:r>
      <w:r w:rsidRPr="00C3256A">
        <w:rPr>
          <w:rFonts w:ascii="Arial" w:hAnsi="Arial" w:cs="Arial"/>
          <w:b/>
          <w:bCs/>
          <w:sz w:val="24"/>
          <w:szCs w:val="24"/>
        </w:rPr>
        <w:t>l</w:t>
      </w:r>
      <w:r w:rsidRPr="00C3256A">
        <w:rPr>
          <w:rFonts w:ascii="Arial" w:hAnsi="Arial" w:cs="Arial"/>
          <w:b/>
          <w:bCs/>
          <w:spacing w:val="-1"/>
          <w:sz w:val="24"/>
          <w:szCs w:val="24"/>
        </w:rPr>
        <w:t>i</w:t>
      </w:r>
      <w:r w:rsidRPr="00C3256A">
        <w:rPr>
          <w:rFonts w:ascii="Arial" w:hAnsi="Arial" w:cs="Arial"/>
          <w:b/>
          <w:bCs/>
          <w:sz w:val="24"/>
          <w:szCs w:val="24"/>
        </w:rPr>
        <w:t>dad</w:t>
      </w:r>
    </w:p>
    <w:p w:rsidR="00C3256A" w:rsidRPr="00C3256A" w:rsidRDefault="00C3256A" w:rsidP="00C3256A">
      <w:pPr>
        <w:widowControl w:val="0"/>
        <w:autoSpaceDE w:val="0"/>
        <w:autoSpaceDN w:val="0"/>
        <w:adjustRightInd w:val="0"/>
        <w:spacing w:before="100" w:after="0" w:line="240" w:lineRule="auto"/>
        <w:ind w:right="55"/>
        <w:jc w:val="both"/>
        <w:rPr>
          <w:rFonts w:ascii="Arial" w:hAnsi="Arial" w:cs="Arial"/>
          <w:szCs w:val="20"/>
          <w:lang w:eastAsia="en-US"/>
        </w:rPr>
      </w:pPr>
      <w:r w:rsidRPr="00C3256A">
        <w:rPr>
          <w:rFonts w:ascii="Arial" w:hAnsi="Arial" w:cs="Arial"/>
          <w:szCs w:val="20"/>
          <w:lang w:eastAsia="en-US"/>
        </w:rPr>
        <w:t>La aseguradora adjudicada deberá entregar reportes de siniestralidad y soporte de los mismos a más tardar dentro de los diez primeros días (naturales) de cada mes, por escrito y firmado por el representante de la misma en papel oficial de la compañía aseguradora; estos deberán ser entregados a la Dirección General de Administración de la Auditoría Superior del Estado de Jalisco en los que se contenga la siguiente información: número de placa, número de póliza, inciso afectado, número de siniestro, dependencia que corresponda, fecha y hora de siniestro, lugar del siniestro, riesgo afectado, monto estimado y monto pagado y si está pendiente o finiquitado, de proceder el monto del deducible, de lo contrario la compañía de seguros pagará al asegurado la cantidad de $1,000.00 por cada día de retraso, los cuales serán descontados de las primas correspondientes.</w:t>
      </w:r>
    </w:p>
    <w:p w:rsidR="00C3256A" w:rsidRPr="00C3256A" w:rsidRDefault="00C3256A" w:rsidP="00C3256A">
      <w:pPr>
        <w:widowControl w:val="0"/>
        <w:autoSpaceDE w:val="0"/>
        <w:autoSpaceDN w:val="0"/>
        <w:adjustRightInd w:val="0"/>
        <w:spacing w:before="100" w:after="0" w:line="240" w:lineRule="auto"/>
        <w:ind w:right="55"/>
        <w:jc w:val="both"/>
        <w:rPr>
          <w:rFonts w:ascii="Arial" w:hAnsi="Arial" w:cs="Arial"/>
          <w:b/>
          <w:szCs w:val="20"/>
          <w:lang w:eastAsia="en-US"/>
        </w:rPr>
      </w:pPr>
    </w:p>
    <w:p w:rsidR="00C3256A" w:rsidRDefault="00C3256A" w:rsidP="00C3256A">
      <w:pPr>
        <w:widowControl w:val="0"/>
        <w:autoSpaceDE w:val="0"/>
        <w:autoSpaceDN w:val="0"/>
        <w:adjustRightInd w:val="0"/>
        <w:spacing w:before="100" w:after="0" w:line="240" w:lineRule="auto"/>
        <w:ind w:right="55"/>
        <w:jc w:val="both"/>
        <w:rPr>
          <w:rFonts w:ascii="Arial" w:hAnsi="Arial" w:cs="Arial"/>
          <w:b/>
          <w:szCs w:val="20"/>
          <w:lang w:eastAsia="en-US"/>
        </w:rPr>
      </w:pPr>
      <w:r w:rsidRPr="00C3256A">
        <w:rPr>
          <w:rFonts w:ascii="Arial" w:hAnsi="Arial" w:cs="Arial"/>
          <w:b/>
          <w:szCs w:val="20"/>
          <w:lang w:eastAsia="en-US"/>
        </w:rPr>
        <w:t xml:space="preserve">El adjudicado deberá cumplir las siguientes condiciones de servicio: </w:t>
      </w:r>
    </w:p>
    <w:p w:rsidR="0027031B" w:rsidRPr="00C3256A" w:rsidRDefault="0027031B" w:rsidP="00C3256A">
      <w:pPr>
        <w:widowControl w:val="0"/>
        <w:autoSpaceDE w:val="0"/>
        <w:autoSpaceDN w:val="0"/>
        <w:adjustRightInd w:val="0"/>
        <w:spacing w:before="100" w:after="0" w:line="240" w:lineRule="auto"/>
        <w:ind w:right="55"/>
        <w:jc w:val="both"/>
        <w:rPr>
          <w:rFonts w:ascii="Arial" w:hAnsi="Arial" w:cs="Arial"/>
          <w:b/>
          <w:szCs w:val="20"/>
          <w:lang w:eastAsia="en-US"/>
        </w:rPr>
      </w:pPr>
    </w:p>
    <w:p w:rsidR="00C3256A" w:rsidRPr="00C3256A" w:rsidRDefault="00C3256A" w:rsidP="00C3256A">
      <w:pPr>
        <w:widowControl w:val="0"/>
        <w:numPr>
          <w:ilvl w:val="0"/>
          <w:numId w:val="20"/>
        </w:numPr>
        <w:autoSpaceDE w:val="0"/>
        <w:autoSpaceDN w:val="0"/>
        <w:adjustRightInd w:val="0"/>
        <w:spacing w:before="100" w:after="0" w:line="240" w:lineRule="auto"/>
        <w:ind w:right="70"/>
        <w:contextualSpacing/>
        <w:jc w:val="both"/>
        <w:rPr>
          <w:rFonts w:ascii="Arial" w:hAnsi="Arial" w:cs="Arial"/>
          <w:szCs w:val="20"/>
          <w:lang w:eastAsia="en-US"/>
        </w:rPr>
      </w:pPr>
      <w:r w:rsidRPr="00C3256A">
        <w:rPr>
          <w:rFonts w:ascii="Arial" w:hAnsi="Arial" w:cs="Arial"/>
          <w:szCs w:val="20"/>
          <w:lang w:eastAsia="en-US"/>
        </w:rPr>
        <w:t>Mantener actualizado el padrón de vehículos, siendo obligación de la Auditoría Superior del Estado de Jalisco proporcionar las altas y bajas en tiempo y forma a través de la jefatura de Servicios Generales de la Dirección General de Administración, de la Auditoría Superior del Estado de Jalisco, así como el de conciliar las altas y bajas, en los archivos correspondientes padrón vehicular con dicha jefatura.</w:t>
      </w:r>
    </w:p>
    <w:p w:rsidR="00C3256A" w:rsidRPr="00C3256A" w:rsidRDefault="00C3256A" w:rsidP="00C3256A">
      <w:pPr>
        <w:widowControl w:val="0"/>
        <w:autoSpaceDE w:val="0"/>
        <w:autoSpaceDN w:val="0"/>
        <w:adjustRightInd w:val="0"/>
        <w:spacing w:before="100" w:after="0" w:line="240" w:lineRule="auto"/>
        <w:ind w:left="720" w:right="70"/>
        <w:contextualSpacing/>
        <w:jc w:val="both"/>
        <w:rPr>
          <w:rFonts w:ascii="Arial" w:hAnsi="Arial" w:cs="Arial"/>
          <w:szCs w:val="20"/>
          <w:lang w:eastAsia="en-US"/>
        </w:rPr>
      </w:pPr>
    </w:p>
    <w:p w:rsidR="00C3256A" w:rsidRPr="00C3256A" w:rsidRDefault="00C3256A" w:rsidP="00C3256A">
      <w:pPr>
        <w:widowControl w:val="0"/>
        <w:numPr>
          <w:ilvl w:val="0"/>
          <w:numId w:val="20"/>
        </w:numPr>
        <w:autoSpaceDE w:val="0"/>
        <w:autoSpaceDN w:val="0"/>
        <w:adjustRightInd w:val="0"/>
        <w:spacing w:before="100" w:after="0" w:line="240" w:lineRule="auto"/>
        <w:ind w:right="70"/>
        <w:contextualSpacing/>
        <w:jc w:val="both"/>
        <w:rPr>
          <w:rFonts w:ascii="Arial" w:hAnsi="Arial" w:cs="Arial"/>
          <w:szCs w:val="20"/>
          <w:lang w:eastAsia="en-US"/>
        </w:rPr>
      </w:pPr>
      <w:r w:rsidRPr="00C3256A">
        <w:rPr>
          <w:rFonts w:ascii="Arial" w:hAnsi="Arial" w:cs="Arial"/>
          <w:szCs w:val="20"/>
          <w:lang w:eastAsia="en-US"/>
        </w:rPr>
        <w:t>Entregar por cada vehículo dos tantos de la póliza en original, y las condiciones generales del seguro y lista de ajustadores con sus datos.</w:t>
      </w:r>
    </w:p>
    <w:p w:rsidR="00C3256A" w:rsidRPr="00C3256A" w:rsidRDefault="00C3256A" w:rsidP="00C3256A">
      <w:pPr>
        <w:spacing w:before="100" w:after="200" w:line="276" w:lineRule="auto"/>
        <w:ind w:left="720"/>
        <w:contextualSpacing/>
        <w:rPr>
          <w:rFonts w:ascii="Arial" w:hAnsi="Arial" w:cs="Arial"/>
          <w:szCs w:val="20"/>
          <w:lang w:eastAsia="en-US"/>
        </w:rPr>
      </w:pPr>
    </w:p>
    <w:p w:rsidR="00C3256A" w:rsidRPr="00C3256A" w:rsidRDefault="00C3256A" w:rsidP="00C3256A">
      <w:pPr>
        <w:widowControl w:val="0"/>
        <w:numPr>
          <w:ilvl w:val="0"/>
          <w:numId w:val="20"/>
        </w:numPr>
        <w:autoSpaceDE w:val="0"/>
        <w:autoSpaceDN w:val="0"/>
        <w:adjustRightInd w:val="0"/>
        <w:spacing w:before="100" w:after="0" w:line="240" w:lineRule="auto"/>
        <w:ind w:right="70"/>
        <w:contextualSpacing/>
        <w:jc w:val="both"/>
        <w:rPr>
          <w:rFonts w:ascii="Arial" w:hAnsi="Arial" w:cs="Arial"/>
          <w:szCs w:val="20"/>
          <w:lang w:eastAsia="en-US"/>
        </w:rPr>
      </w:pPr>
      <w:r w:rsidRPr="00C3256A">
        <w:rPr>
          <w:rFonts w:ascii="Arial" w:hAnsi="Arial" w:cs="Arial"/>
          <w:szCs w:val="20"/>
          <w:lang w:eastAsia="en-US"/>
        </w:rPr>
        <w:t>Mandar imprimir (sin costo adicional) calcomanías auto-adheribles, las cuales contendrán la siguiente información: el servidor público afectado deberá reportar el siniestro al momento del mismo, al Departamento de Servicios Generales, al teléfono 36-79-45-00 ext. 1122 y 1132. Así mismo los teléfonos que designe la compañía de seguros responsable; siempre se debe portar copia de la póliza; el tiempo de cobertura; vigencia de la póliza;</w:t>
      </w:r>
      <w:r w:rsidRPr="00C3256A">
        <w:rPr>
          <w:rFonts w:ascii="Arial" w:hAnsi="Arial" w:cs="Arial"/>
          <w:spacing w:val="10"/>
          <w:sz w:val="24"/>
          <w:szCs w:val="24"/>
        </w:rPr>
        <w:t xml:space="preserve"> </w:t>
      </w:r>
      <w:r w:rsidRPr="00C3256A">
        <w:rPr>
          <w:rFonts w:ascii="Arial" w:hAnsi="Arial" w:cs="Arial"/>
          <w:szCs w:val="20"/>
          <w:lang w:eastAsia="en-US"/>
        </w:rPr>
        <w:t xml:space="preserve">datos de ajustadores; no será necesario portar licencia de manejo ni que la misma esté vigente; que no se debe conducir en esta de ebriedad, todos los vehículos y equipos que forman parte de la flotilla de la ASEJ, de modelos </w:t>
      </w:r>
      <w:r w:rsidRPr="00C3256A">
        <w:rPr>
          <w:rFonts w:ascii="Arial" w:hAnsi="Arial" w:cs="Arial"/>
          <w:b/>
          <w:szCs w:val="20"/>
          <w:lang w:eastAsia="en-US"/>
        </w:rPr>
        <w:t>2020</w:t>
      </w:r>
      <w:r w:rsidRPr="00C3256A">
        <w:rPr>
          <w:rFonts w:ascii="Arial" w:hAnsi="Arial" w:cs="Arial"/>
          <w:szCs w:val="20"/>
          <w:lang w:eastAsia="en-US"/>
        </w:rPr>
        <w:t xml:space="preserve">, </w:t>
      </w:r>
      <w:r w:rsidRPr="00C3256A">
        <w:rPr>
          <w:rFonts w:ascii="Arial" w:hAnsi="Arial" w:cs="Arial"/>
          <w:b/>
          <w:szCs w:val="20"/>
          <w:lang w:eastAsia="en-US"/>
        </w:rPr>
        <w:t>2017</w:t>
      </w:r>
      <w:r w:rsidRPr="00C3256A">
        <w:rPr>
          <w:rFonts w:ascii="Arial" w:hAnsi="Arial" w:cs="Arial"/>
          <w:szCs w:val="20"/>
          <w:lang w:eastAsia="en-US"/>
        </w:rPr>
        <w:t xml:space="preserve">, </w:t>
      </w:r>
      <w:r w:rsidRPr="00C3256A">
        <w:rPr>
          <w:rFonts w:ascii="Arial" w:hAnsi="Arial" w:cs="Arial"/>
          <w:b/>
          <w:szCs w:val="20"/>
          <w:lang w:eastAsia="en-US"/>
        </w:rPr>
        <w:t>2016</w:t>
      </w:r>
      <w:r w:rsidRPr="00C3256A">
        <w:rPr>
          <w:rFonts w:ascii="Arial" w:hAnsi="Arial" w:cs="Arial"/>
          <w:szCs w:val="20"/>
          <w:lang w:eastAsia="en-US"/>
        </w:rPr>
        <w:t xml:space="preserve">, </w:t>
      </w:r>
      <w:r w:rsidRPr="00C3256A">
        <w:rPr>
          <w:rFonts w:ascii="Arial" w:hAnsi="Arial" w:cs="Arial"/>
          <w:b/>
          <w:szCs w:val="20"/>
          <w:lang w:eastAsia="en-US"/>
        </w:rPr>
        <w:t>2015</w:t>
      </w:r>
      <w:r w:rsidRPr="00C3256A">
        <w:rPr>
          <w:rFonts w:ascii="Arial" w:hAnsi="Arial" w:cs="Arial"/>
          <w:szCs w:val="20"/>
          <w:lang w:eastAsia="en-US"/>
        </w:rPr>
        <w:t xml:space="preserve">, </w:t>
      </w:r>
      <w:r w:rsidRPr="00C3256A">
        <w:rPr>
          <w:rFonts w:ascii="Arial" w:hAnsi="Arial" w:cs="Arial"/>
          <w:b/>
          <w:szCs w:val="20"/>
          <w:lang w:eastAsia="en-US"/>
        </w:rPr>
        <w:t>2012</w:t>
      </w:r>
      <w:r w:rsidRPr="00C3256A">
        <w:rPr>
          <w:rFonts w:ascii="Arial" w:hAnsi="Arial" w:cs="Arial"/>
          <w:szCs w:val="20"/>
          <w:lang w:eastAsia="en-US"/>
        </w:rPr>
        <w:t xml:space="preserve">, </w:t>
      </w:r>
      <w:r w:rsidRPr="00C3256A">
        <w:rPr>
          <w:rFonts w:ascii="Arial" w:hAnsi="Arial" w:cs="Arial"/>
          <w:b/>
          <w:szCs w:val="20"/>
          <w:lang w:eastAsia="en-US"/>
        </w:rPr>
        <w:t>2011</w:t>
      </w:r>
      <w:r w:rsidRPr="00C3256A">
        <w:rPr>
          <w:rFonts w:ascii="Arial" w:hAnsi="Arial" w:cs="Arial"/>
          <w:szCs w:val="20"/>
          <w:lang w:eastAsia="en-US"/>
        </w:rPr>
        <w:t xml:space="preserve"> y </w:t>
      </w:r>
      <w:r w:rsidRPr="00C3256A">
        <w:rPr>
          <w:rFonts w:ascii="Arial" w:hAnsi="Arial" w:cs="Arial"/>
          <w:b/>
          <w:szCs w:val="20"/>
          <w:lang w:eastAsia="en-US"/>
        </w:rPr>
        <w:t>2006</w:t>
      </w:r>
      <w:r w:rsidRPr="00C3256A">
        <w:rPr>
          <w:rFonts w:ascii="Arial" w:hAnsi="Arial" w:cs="Arial"/>
          <w:szCs w:val="20"/>
          <w:lang w:eastAsia="en-US"/>
        </w:rPr>
        <w:t xml:space="preserve"> deberán contener la leyenda que dichas unidades deberán ser reparadas en las agencias distribuidoras de la marca de los vehículos.</w:t>
      </w:r>
    </w:p>
    <w:p w:rsidR="00C3256A" w:rsidRPr="00C3256A" w:rsidRDefault="00C3256A" w:rsidP="00C3256A">
      <w:pPr>
        <w:widowControl w:val="0"/>
        <w:tabs>
          <w:tab w:val="left" w:pos="820"/>
        </w:tabs>
        <w:autoSpaceDE w:val="0"/>
        <w:autoSpaceDN w:val="0"/>
        <w:adjustRightInd w:val="0"/>
        <w:spacing w:after="0" w:line="240" w:lineRule="auto"/>
        <w:ind w:left="720" w:right="57"/>
        <w:contextualSpacing/>
        <w:jc w:val="both"/>
        <w:rPr>
          <w:rFonts w:ascii="Arial" w:hAnsi="Arial" w:cs="Arial"/>
          <w:sz w:val="24"/>
          <w:szCs w:val="24"/>
        </w:rPr>
      </w:pPr>
    </w:p>
    <w:p w:rsidR="00C3256A" w:rsidRPr="00C3256A" w:rsidRDefault="00C3256A" w:rsidP="00550DFC">
      <w:pPr>
        <w:widowControl w:val="0"/>
        <w:numPr>
          <w:ilvl w:val="0"/>
          <w:numId w:val="20"/>
        </w:numPr>
        <w:tabs>
          <w:tab w:val="left" w:pos="820"/>
        </w:tabs>
        <w:autoSpaceDE w:val="0"/>
        <w:autoSpaceDN w:val="0"/>
        <w:adjustRightInd w:val="0"/>
        <w:spacing w:before="14" w:after="0" w:line="260" w:lineRule="exact"/>
        <w:ind w:right="57"/>
        <w:contextualSpacing/>
        <w:jc w:val="both"/>
        <w:rPr>
          <w:rFonts w:ascii="Arial" w:hAnsi="Arial" w:cs="Arial"/>
          <w:szCs w:val="20"/>
          <w:lang w:eastAsia="en-US"/>
        </w:rPr>
      </w:pPr>
      <w:r w:rsidRPr="00C3256A">
        <w:rPr>
          <w:rFonts w:ascii="Arial" w:hAnsi="Arial" w:cs="Arial"/>
          <w:szCs w:val="20"/>
          <w:lang w:eastAsia="en-US"/>
        </w:rPr>
        <w:t xml:space="preserve">El proveedor adjudicado deberá entregar las calcomanías antes señaladas dentro de los 30 días naturales contados a partir del día </w:t>
      </w:r>
      <w:r w:rsidRPr="00C3256A">
        <w:rPr>
          <w:rFonts w:ascii="Arial" w:hAnsi="Arial" w:cs="Arial"/>
          <w:szCs w:val="20"/>
          <w:lang w:eastAsia="en-US"/>
        </w:rPr>
        <w:lastRenderedPageBreak/>
        <w:t>siguiente al fallo de adjudicación al departamento de Servicios Generales el cual se encargará de entregar al área responsable del parque vehicular de la ASEJ, para que éstas sean pegadas en el interior de cada vehículo.</w:t>
      </w:r>
    </w:p>
    <w:p w:rsidR="001E5744" w:rsidRDefault="001E5744">
      <w:pPr>
        <w:widowControl w:val="0"/>
        <w:autoSpaceDE w:val="0"/>
        <w:autoSpaceDN w:val="0"/>
        <w:adjustRightInd w:val="0"/>
        <w:spacing w:after="0" w:line="200" w:lineRule="exact"/>
        <w:rPr>
          <w:rFonts w:ascii="Arial" w:hAnsi="Arial" w:cs="Arial"/>
          <w:sz w:val="24"/>
          <w:szCs w:val="24"/>
        </w:rPr>
      </w:pPr>
    </w:p>
    <w:p w:rsidR="00C3256A" w:rsidRDefault="00C3256A">
      <w:pPr>
        <w:widowControl w:val="0"/>
        <w:autoSpaceDE w:val="0"/>
        <w:autoSpaceDN w:val="0"/>
        <w:adjustRightInd w:val="0"/>
        <w:spacing w:after="0" w:line="200" w:lineRule="exact"/>
        <w:rPr>
          <w:rFonts w:ascii="Arial" w:hAnsi="Arial" w:cs="Arial"/>
          <w:sz w:val="24"/>
          <w:szCs w:val="24"/>
        </w:rPr>
      </w:pPr>
    </w:p>
    <w:p w:rsidR="00C3256A" w:rsidRPr="006D2A27" w:rsidRDefault="00C3256A">
      <w:pPr>
        <w:widowControl w:val="0"/>
        <w:autoSpaceDE w:val="0"/>
        <w:autoSpaceDN w:val="0"/>
        <w:adjustRightInd w:val="0"/>
        <w:spacing w:after="0" w:line="200" w:lineRule="exact"/>
        <w:rPr>
          <w:rFonts w:ascii="Arial" w:hAnsi="Arial" w:cs="Arial"/>
          <w:sz w:val="24"/>
          <w:szCs w:val="24"/>
        </w:rPr>
      </w:pPr>
    </w:p>
    <w:p w:rsidR="001E5744" w:rsidRDefault="001E5744" w:rsidP="009F69AD">
      <w:pPr>
        <w:widowControl w:val="0"/>
        <w:autoSpaceDE w:val="0"/>
        <w:autoSpaceDN w:val="0"/>
        <w:adjustRightInd w:val="0"/>
        <w:spacing w:after="0" w:line="240" w:lineRule="auto"/>
        <w:ind w:left="3717" w:right="2928"/>
        <w:jc w:val="center"/>
        <w:rPr>
          <w:rFonts w:ascii="Arial" w:hAnsi="Arial" w:cs="Arial"/>
          <w:b/>
          <w:bCs/>
          <w:w w:val="99"/>
          <w:sz w:val="24"/>
          <w:szCs w:val="24"/>
        </w:rPr>
      </w:pPr>
      <w:r w:rsidRPr="006D2A27">
        <w:rPr>
          <w:rFonts w:ascii="Arial" w:hAnsi="Arial" w:cs="Arial"/>
          <w:b/>
          <w:bCs/>
          <w:w w:val="99"/>
          <w:sz w:val="24"/>
          <w:szCs w:val="24"/>
        </w:rPr>
        <w:t>A</w:t>
      </w:r>
      <w:r w:rsidRPr="006D2A27">
        <w:rPr>
          <w:rFonts w:ascii="Arial" w:hAnsi="Arial" w:cs="Arial"/>
          <w:b/>
          <w:bCs/>
          <w:spacing w:val="-1"/>
          <w:w w:val="99"/>
          <w:sz w:val="24"/>
          <w:szCs w:val="24"/>
        </w:rPr>
        <w:t>t</w:t>
      </w:r>
      <w:r w:rsidRPr="006D2A27">
        <w:rPr>
          <w:rFonts w:ascii="Arial" w:hAnsi="Arial" w:cs="Arial"/>
          <w:b/>
          <w:bCs/>
          <w:spacing w:val="1"/>
          <w:sz w:val="24"/>
          <w:szCs w:val="24"/>
        </w:rPr>
        <w:t>e</w:t>
      </w:r>
      <w:r w:rsidRPr="006D2A27">
        <w:rPr>
          <w:rFonts w:ascii="Arial" w:hAnsi="Arial" w:cs="Arial"/>
          <w:b/>
          <w:bCs/>
          <w:w w:val="99"/>
          <w:sz w:val="24"/>
          <w:szCs w:val="24"/>
        </w:rPr>
        <w:t>n</w:t>
      </w:r>
      <w:r w:rsidRPr="006D2A27">
        <w:rPr>
          <w:rFonts w:ascii="Arial" w:hAnsi="Arial" w:cs="Arial"/>
          <w:b/>
          <w:bCs/>
          <w:spacing w:val="-1"/>
          <w:w w:val="99"/>
          <w:sz w:val="24"/>
          <w:szCs w:val="24"/>
        </w:rPr>
        <w:t>t</w:t>
      </w:r>
      <w:r w:rsidRPr="006D2A27">
        <w:rPr>
          <w:rFonts w:ascii="Arial" w:hAnsi="Arial" w:cs="Arial"/>
          <w:b/>
          <w:bCs/>
          <w:spacing w:val="1"/>
          <w:sz w:val="24"/>
          <w:szCs w:val="24"/>
        </w:rPr>
        <w:t>a</w:t>
      </w:r>
      <w:r w:rsidRPr="006D2A27">
        <w:rPr>
          <w:rFonts w:ascii="Arial" w:hAnsi="Arial" w:cs="Arial"/>
          <w:b/>
          <w:bCs/>
          <w:sz w:val="24"/>
          <w:szCs w:val="24"/>
        </w:rPr>
        <w:t>m</w:t>
      </w:r>
      <w:r w:rsidRPr="006D2A27">
        <w:rPr>
          <w:rFonts w:ascii="Arial" w:hAnsi="Arial" w:cs="Arial"/>
          <w:b/>
          <w:bCs/>
          <w:spacing w:val="1"/>
          <w:sz w:val="24"/>
          <w:szCs w:val="24"/>
        </w:rPr>
        <w:t>e</w:t>
      </w:r>
      <w:r w:rsidRPr="006D2A27">
        <w:rPr>
          <w:rFonts w:ascii="Arial" w:hAnsi="Arial" w:cs="Arial"/>
          <w:b/>
          <w:bCs/>
          <w:w w:val="99"/>
          <w:sz w:val="24"/>
          <w:szCs w:val="24"/>
        </w:rPr>
        <w:t>n</w:t>
      </w:r>
      <w:r w:rsidR="009F69AD">
        <w:rPr>
          <w:rFonts w:ascii="Arial" w:hAnsi="Arial" w:cs="Arial"/>
          <w:b/>
          <w:bCs/>
          <w:w w:val="99"/>
          <w:sz w:val="24"/>
          <w:szCs w:val="24"/>
        </w:rPr>
        <w:t>te</w:t>
      </w:r>
    </w:p>
    <w:p w:rsidR="002A49BB" w:rsidRPr="006D2A27" w:rsidRDefault="002A49BB" w:rsidP="009F69AD">
      <w:pPr>
        <w:widowControl w:val="0"/>
        <w:autoSpaceDE w:val="0"/>
        <w:autoSpaceDN w:val="0"/>
        <w:adjustRightInd w:val="0"/>
        <w:spacing w:after="0" w:line="240" w:lineRule="auto"/>
        <w:ind w:left="3717" w:right="2928"/>
        <w:jc w:val="center"/>
        <w:rPr>
          <w:rFonts w:ascii="Arial" w:hAnsi="Arial" w:cs="Arial"/>
          <w:sz w:val="24"/>
          <w:szCs w:val="24"/>
        </w:rPr>
      </w:pPr>
    </w:p>
    <w:p w:rsidR="002A49BB" w:rsidRPr="002A49BB" w:rsidRDefault="002A49BB" w:rsidP="002A49BB">
      <w:pPr>
        <w:spacing w:line="240" w:lineRule="auto"/>
        <w:jc w:val="center"/>
        <w:rPr>
          <w:rFonts w:ascii="Arial" w:hAnsi="Arial" w:cs="Arial"/>
          <w:b/>
          <w:sz w:val="24"/>
          <w:szCs w:val="24"/>
        </w:rPr>
      </w:pPr>
      <w:r w:rsidRPr="002A49BB">
        <w:rPr>
          <w:rFonts w:ascii="Arial" w:hAnsi="Arial" w:cs="Arial"/>
          <w:b/>
          <w:sz w:val="24"/>
          <w:szCs w:val="24"/>
        </w:rPr>
        <w:t>Guadalajara, Jalisco, __________ de 2021.</w:t>
      </w:r>
    </w:p>
    <w:p w:rsidR="002A49BB" w:rsidRPr="002603C6" w:rsidRDefault="002A49BB" w:rsidP="002A49BB">
      <w:pPr>
        <w:spacing w:line="240" w:lineRule="auto"/>
        <w:jc w:val="both"/>
        <w:rPr>
          <w:rFonts w:ascii="Arial" w:hAnsi="Arial" w:cs="Arial"/>
          <w:sz w:val="24"/>
          <w:szCs w:val="24"/>
        </w:rPr>
      </w:pPr>
    </w:p>
    <w:p w:rsidR="00C3256A" w:rsidRPr="006D2A27" w:rsidRDefault="00C3256A">
      <w:pPr>
        <w:widowControl w:val="0"/>
        <w:autoSpaceDE w:val="0"/>
        <w:autoSpaceDN w:val="0"/>
        <w:adjustRightInd w:val="0"/>
        <w:spacing w:before="14" w:after="0" w:line="260" w:lineRule="exact"/>
        <w:rPr>
          <w:rFonts w:ascii="Arial" w:hAnsi="Arial" w:cs="Arial"/>
          <w:sz w:val="24"/>
          <w:szCs w:val="24"/>
        </w:rPr>
      </w:pPr>
    </w:p>
    <w:p w:rsidR="001E5744" w:rsidRPr="006D2A27" w:rsidRDefault="001E5744" w:rsidP="00D64706">
      <w:pPr>
        <w:widowControl w:val="0"/>
        <w:autoSpaceDE w:val="0"/>
        <w:autoSpaceDN w:val="0"/>
        <w:adjustRightInd w:val="0"/>
        <w:spacing w:after="0" w:line="240" w:lineRule="auto"/>
        <w:ind w:left="3288" w:right="-129"/>
        <w:rPr>
          <w:rFonts w:ascii="Arial" w:hAnsi="Arial" w:cs="Arial"/>
          <w:sz w:val="24"/>
          <w:szCs w:val="24"/>
        </w:rPr>
      </w:pPr>
      <w:r w:rsidRPr="006D2A27">
        <w:rPr>
          <w:rFonts w:ascii="Arial" w:hAnsi="Arial" w:cs="Arial"/>
          <w:b/>
          <w:bCs/>
          <w:spacing w:val="1"/>
          <w:sz w:val="24"/>
          <w:szCs w:val="24"/>
        </w:rPr>
        <w:t>P</w:t>
      </w:r>
      <w:r w:rsidRPr="006D2A27">
        <w:rPr>
          <w:rFonts w:ascii="Arial" w:hAnsi="Arial" w:cs="Arial"/>
          <w:b/>
          <w:bCs/>
          <w:sz w:val="24"/>
          <w:szCs w:val="24"/>
        </w:rPr>
        <w:t>rote</w:t>
      </w:r>
      <w:r w:rsidRPr="006D2A27">
        <w:rPr>
          <w:rFonts w:ascii="Arial" w:hAnsi="Arial" w:cs="Arial"/>
          <w:b/>
          <w:bCs/>
          <w:spacing w:val="1"/>
          <w:sz w:val="24"/>
          <w:szCs w:val="24"/>
        </w:rPr>
        <w:t>s</w:t>
      </w:r>
      <w:r w:rsidRPr="006D2A27">
        <w:rPr>
          <w:rFonts w:ascii="Arial" w:hAnsi="Arial" w:cs="Arial"/>
          <w:b/>
          <w:bCs/>
          <w:sz w:val="24"/>
          <w:szCs w:val="24"/>
        </w:rPr>
        <w:t>to</w:t>
      </w:r>
      <w:r w:rsidRPr="006D2A27">
        <w:rPr>
          <w:rFonts w:ascii="Arial" w:hAnsi="Arial" w:cs="Arial"/>
          <w:b/>
          <w:bCs/>
          <w:spacing w:val="-9"/>
          <w:sz w:val="24"/>
          <w:szCs w:val="24"/>
        </w:rPr>
        <w:t xml:space="preserve"> </w:t>
      </w:r>
      <w:r w:rsidRPr="006D2A27">
        <w:rPr>
          <w:rFonts w:ascii="Arial" w:hAnsi="Arial" w:cs="Arial"/>
          <w:b/>
          <w:bCs/>
          <w:spacing w:val="1"/>
          <w:sz w:val="24"/>
          <w:szCs w:val="24"/>
        </w:rPr>
        <w:t>l</w:t>
      </w:r>
      <w:r w:rsidRPr="006D2A27">
        <w:rPr>
          <w:rFonts w:ascii="Arial" w:hAnsi="Arial" w:cs="Arial"/>
          <w:b/>
          <w:bCs/>
          <w:sz w:val="24"/>
          <w:szCs w:val="24"/>
        </w:rPr>
        <w:t>o</w:t>
      </w:r>
      <w:r w:rsidR="00D64706">
        <w:rPr>
          <w:rFonts w:ascii="Arial" w:hAnsi="Arial" w:cs="Arial"/>
          <w:b/>
          <w:bCs/>
          <w:sz w:val="24"/>
          <w:szCs w:val="24"/>
        </w:rPr>
        <w:t xml:space="preserve"> </w:t>
      </w:r>
      <w:r w:rsidR="00D64706">
        <w:rPr>
          <w:rFonts w:ascii="Arial" w:hAnsi="Arial" w:cs="Arial"/>
          <w:b/>
          <w:bCs/>
          <w:spacing w:val="-1"/>
          <w:sz w:val="24"/>
          <w:szCs w:val="24"/>
        </w:rPr>
        <w:t>necesario</w:t>
      </w:r>
      <w:r w:rsidRPr="006D2A27">
        <w:rPr>
          <w:rFonts w:ascii="Arial" w:hAnsi="Arial" w:cs="Arial"/>
          <w:b/>
          <w:bCs/>
          <w:sz w:val="24"/>
          <w:szCs w:val="24"/>
        </w:rPr>
        <w:t>.</w:t>
      </w:r>
    </w:p>
    <w:p w:rsidR="001E5744" w:rsidRPr="006D2A27" w:rsidRDefault="001E5744">
      <w:pPr>
        <w:widowControl w:val="0"/>
        <w:autoSpaceDE w:val="0"/>
        <w:autoSpaceDN w:val="0"/>
        <w:adjustRightInd w:val="0"/>
        <w:spacing w:before="3" w:after="0" w:line="150" w:lineRule="exact"/>
        <w:rPr>
          <w:rFonts w:ascii="Arial" w:hAnsi="Arial" w:cs="Arial"/>
          <w:sz w:val="24"/>
          <w:szCs w:val="24"/>
        </w:rPr>
      </w:pPr>
    </w:p>
    <w:p w:rsidR="002A49BB" w:rsidRDefault="002A49BB">
      <w:pPr>
        <w:widowControl w:val="0"/>
        <w:autoSpaceDE w:val="0"/>
        <w:autoSpaceDN w:val="0"/>
        <w:adjustRightInd w:val="0"/>
        <w:spacing w:after="0" w:line="240" w:lineRule="auto"/>
        <w:ind w:left="837" w:right="838"/>
        <w:jc w:val="center"/>
        <w:rPr>
          <w:rFonts w:ascii="Arial" w:hAnsi="Arial" w:cs="Arial"/>
          <w:b/>
          <w:bCs/>
          <w:sz w:val="24"/>
          <w:szCs w:val="24"/>
        </w:rPr>
      </w:pPr>
    </w:p>
    <w:p w:rsidR="002A49BB" w:rsidRDefault="002A49BB">
      <w:pPr>
        <w:widowControl w:val="0"/>
        <w:autoSpaceDE w:val="0"/>
        <w:autoSpaceDN w:val="0"/>
        <w:adjustRightInd w:val="0"/>
        <w:spacing w:after="0" w:line="240" w:lineRule="auto"/>
        <w:ind w:left="837" w:right="838"/>
        <w:jc w:val="center"/>
        <w:rPr>
          <w:rFonts w:ascii="Arial" w:hAnsi="Arial" w:cs="Arial"/>
          <w:b/>
          <w:bCs/>
          <w:sz w:val="24"/>
          <w:szCs w:val="24"/>
        </w:rPr>
      </w:pPr>
    </w:p>
    <w:p w:rsidR="002A49BB" w:rsidRDefault="002A49BB">
      <w:pPr>
        <w:widowControl w:val="0"/>
        <w:autoSpaceDE w:val="0"/>
        <w:autoSpaceDN w:val="0"/>
        <w:adjustRightInd w:val="0"/>
        <w:spacing w:after="0" w:line="240" w:lineRule="auto"/>
        <w:ind w:left="837" w:right="838"/>
        <w:jc w:val="center"/>
        <w:rPr>
          <w:rFonts w:ascii="Arial" w:hAnsi="Arial" w:cs="Arial"/>
          <w:b/>
          <w:bCs/>
          <w:sz w:val="24"/>
          <w:szCs w:val="24"/>
        </w:rPr>
      </w:pPr>
    </w:p>
    <w:p w:rsidR="002A49BB" w:rsidRDefault="002A49BB">
      <w:pPr>
        <w:widowControl w:val="0"/>
        <w:autoSpaceDE w:val="0"/>
        <w:autoSpaceDN w:val="0"/>
        <w:adjustRightInd w:val="0"/>
        <w:spacing w:after="0" w:line="240" w:lineRule="auto"/>
        <w:ind w:left="837" w:right="838"/>
        <w:jc w:val="center"/>
        <w:rPr>
          <w:rFonts w:ascii="Arial" w:hAnsi="Arial" w:cs="Arial"/>
          <w:b/>
          <w:bCs/>
          <w:sz w:val="24"/>
          <w:szCs w:val="24"/>
        </w:rPr>
      </w:pPr>
      <w:r>
        <w:rPr>
          <w:rFonts w:ascii="Arial" w:hAnsi="Arial" w:cs="Arial"/>
          <w:b/>
          <w:bCs/>
          <w:sz w:val="24"/>
          <w:szCs w:val="24"/>
        </w:rPr>
        <w:t>_______________________________________________</w:t>
      </w:r>
    </w:p>
    <w:p w:rsidR="001E5744" w:rsidRPr="006D2A27" w:rsidRDefault="001E5744">
      <w:pPr>
        <w:widowControl w:val="0"/>
        <w:autoSpaceDE w:val="0"/>
        <w:autoSpaceDN w:val="0"/>
        <w:adjustRightInd w:val="0"/>
        <w:spacing w:after="0" w:line="240" w:lineRule="auto"/>
        <w:ind w:left="837" w:right="838"/>
        <w:jc w:val="center"/>
        <w:rPr>
          <w:rFonts w:ascii="Arial" w:hAnsi="Arial" w:cs="Arial"/>
          <w:sz w:val="24"/>
          <w:szCs w:val="24"/>
        </w:rPr>
      </w:pPr>
      <w:r w:rsidRPr="006D2A27">
        <w:rPr>
          <w:rFonts w:ascii="Arial" w:hAnsi="Arial" w:cs="Arial"/>
          <w:b/>
          <w:bCs/>
          <w:sz w:val="24"/>
          <w:szCs w:val="24"/>
        </w:rPr>
        <w:t>N</w:t>
      </w:r>
      <w:r w:rsidRPr="006D2A27">
        <w:rPr>
          <w:rFonts w:ascii="Arial" w:hAnsi="Arial" w:cs="Arial"/>
          <w:b/>
          <w:bCs/>
          <w:spacing w:val="-1"/>
          <w:sz w:val="24"/>
          <w:szCs w:val="24"/>
        </w:rPr>
        <w:t>o</w:t>
      </w:r>
      <w:r w:rsidRPr="006D2A27">
        <w:rPr>
          <w:rFonts w:ascii="Arial" w:hAnsi="Arial" w:cs="Arial"/>
          <w:b/>
          <w:bCs/>
          <w:sz w:val="24"/>
          <w:szCs w:val="24"/>
        </w:rPr>
        <w:t>mbre</w:t>
      </w:r>
      <w:r w:rsidRPr="006D2A27">
        <w:rPr>
          <w:rFonts w:ascii="Arial" w:hAnsi="Arial" w:cs="Arial"/>
          <w:b/>
          <w:bCs/>
          <w:spacing w:val="-6"/>
          <w:sz w:val="24"/>
          <w:szCs w:val="24"/>
        </w:rPr>
        <w:t xml:space="preserve"> </w:t>
      </w:r>
      <w:r w:rsidRPr="006D2A27">
        <w:rPr>
          <w:rFonts w:ascii="Arial" w:hAnsi="Arial" w:cs="Arial"/>
          <w:b/>
          <w:bCs/>
          <w:sz w:val="24"/>
          <w:szCs w:val="24"/>
        </w:rPr>
        <w:t>d</w:t>
      </w:r>
      <w:r w:rsidRPr="006D2A27">
        <w:rPr>
          <w:rFonts w:ascii="Arial" w:hAnsi="Arial" w:cs="Arial"/>
          <w:b/>
          <w:bCs/>
          <w:spacing w:val="1"/>
          <w:sz w:val="24"/>
          <w:szCs w:val="24"/>
        </w:rPr>
        <w:t>e</w:t>
      </w:r>
      <w:r w:rsidRPr="006D2A27">
        <w:rPr>
          <w:rFonts w:ascii="Arial" w:hAnsi="Arial" w:cs="Arial"/>
          <w:b/>
          <w:bCs/>
          <w:sz w:val="24"/>
          <w:szCs w:val="24"/>
        </w:rPr>
        <w:t>l</w:t>
      </w:r>
      <w:r w:rsidRPr="006D2A27">
        <w:rPr>
          <w:rFonts w:ascii="Arial" w:hAnsi="Arial" w:cs="Arial"/>
          <w:b/>
          <w:bCs/>
          <w:spacing w:val="1"/>
          <w:sz w:val="24"/>
          <w:szCs w:val="24"/>
        </w:rPr>
        <w:t xml:space="preserve"> </w:t>
      </w:r>
      <w:r w:rsidRPr="006D2A27">
        <w:rPr>
          <w:rFonts w:ascii="Arial" w:hAnsi="Arial" w:cs="Arial"/>
          <w:b/>
          <w:bCs/>
          <w:sz w:val="24"/>
          <w:szCs w:val="24"/>
        </w:rPr>
        <w:t>L</w:t>
      </w:r>
      <w:r w:rsidRPr="006D2A27">
        <w:rPr>
          <w:rFonts w:ascii="Arial" w:hAnsi="Arial" w:cs="Arial"/>
          <w:b/>
          <w:bCs/>
          <w:spacing w:val="-2"/>
          <w:sz w:val="24"/>
          <w:szCs w:val="24"/>
        </w:rPr>
        <w:t>i</w:t>
      </w:r>
      <w:r w:rsidRPr="006D2A27">
        <w:rPr>
          <w:rFonts w:ascii="Arial" w:hAnsi="Arial" w:cs="Arial"/>
          <w:b/>
          <w:bCs/>
          <w:spacing w:val="1"/>
          <w:sz w:val="24"/>
          <w:szCs w:val="24"/>
        </w:rPr>
        <w:t>c</w:t>
      </w:r>
      <w:r w:rsidRPr="006D2A27">
        <w:rPr>
          <w:rFonts w:ascii="Arial" w:hAnsi="Arial" w:cs="Arial"/>
          <w:b/>
          <w:bCs/>
          <w:sz w:val="24"/>
          <w:szCs w:val="24"/>
        </w:rPr>
        <w:t>itante y</w:t>
      </w:r>
      <w:r w:rsidRPr="006D2A27">
        <w:rPr>
          <w:rFonts w:ascii="Arial" w:hAnsi="Arial" w:cs="Arial"/>
          <w:b/>
          <w:bCs/>
          <w:spacing w:val="-1"/>
          <w:sz w:val="24"/>
          <w:szCs w:val="24"/>
        </w:rPr>
        <w:t xml:space="preserve"> </w:t>
      </w:r>
      <w:r w:rsidRPr="006D2A27">
        <w:rPr>
          <w:rFonts w:ascii="Arial" w:hAnsi="Arial" w:cs="Arial"/>
          <w:b/>
          <w:bCs/>
          <w:sz w:val="24"/>
          <w:szCs w:val="24"/>
        </w:rPr>
        <w:t>fi</w:t>
      </w:r>
      <w:r w:rsidRPr="006D2A27">
        <w:rPr>
          <w:rFonts w:ascii="Arial" w:hAnsi="Arial" w:cs="Arial"/>
          <w:b/>
          <w:bCs/>
          <w:spacing w:val="-2"/>
          <w:sz w:val="24"/>
          <w:szCs w:val="24"/>
        </w:rPr>
        <w:t>r</w:t>
      </w:r>
      <w:r w:rsidRPr="006D2A27">
        <w:rPr>
          <w:rFonts w:ascii="Arial" w:hAnsi="Arial" w:cs="Arial"/>
          <w:b/>
          <w:bCs/>
          <w:sz w:val="24"/>
          <w:szCs w:val="24"/>
        </w:rPr>
        <w:t>ma</w:t>
      </w:r>
      <w:r w:rsidRPr="006D2A27">
        <w:rPr>
          <w:rFonts w:ascii="Arial" w:hAnsi="Arial" w:cs="Arial"/>
          <w:b/>
          <w:bCs/>
          <w:spacing w:val="-1"/>
          <w:sz w:val="24"/>
          <w:szCs w:val="24"/>
        </w:rPr>
        <w:t xml:space="preserve"> </w:t>
      </w:r>
      <w:r w:rsidRPr="006D2A27">
        <w:rPr>
          <w:rFonts w:ascii="Arial" w:hAnsi="Arial" w:cs="Arial"/>
          <w:b/>
          <w:bCs/>
          <w:sz w:val="24"/>
          <w:szCs w:val="24"/>
        </w:rPr>
        <w:t>d</w:t>
      </w:r>
      <w:r w:rsidRPr="006D2A27">
        <w:rPr>
          <w:rFonts w:ascii="Arial" w:hAnsi="Arial" w:cs="Arial"/>
          <w:b/>
          <w:bCs/>
          <w:spacing w:val="1"/>
          <w:sz w:val="24"/>
          <w:szCs w:val="24"/>
        </w:rPr>
        <w:t>e</w:t>
      </w:r>
      <w:r w:rsidRPr="006D2A27">
        <w:rPr>
          <w:rFonts w:ascii="Arial" w:hAnsi="Arial" w:cs="Arial"/>
          <w:b/>
          <w:bCs/>
          <w:spacing w:val="3"/>
          <w:sz w:val="24"/>
          <w:szCs w:val="24"/>
        </w:rPr>
        <w:t>l</w:t>
      </w:r>
      <w:r w:rsidR="00D64706">
        <w:rPr>
          <w:rFonts w:ascii="Arial" w:hAnsi="Arial" w:cs="Arial"/>
          <w:b/>
          <w:bCs/>
          <w:spacing w:val="3"/>
          <w:sz w:val="24"/>
          <w:szCs w:val="24"/>
        </w:rPr>
        <w:t xml:space="preserve"> </w:t>
      </w:r>
      <w:r w:rsidRPr="006D2A27">
        <w:rPr>
          <w:rFonts w:ascii="Arial" w:hAnsi="Arial" w:cs="Arial"/>
          <w:b/>
          <w:bCs/>
          <w:sz w:val="24"/>
          <w:szCs w:val="24"/>
        </w:rPr>
        <w:t>(</w:t>
      </w:r>
      <w:r w:rsidRPr="006D2A27">
        <w:rPr>
          <w:rFonts w:ascii="Arial" w:hAnsi="Arial" w:cs="Arial"/>
          <w:b/>
          <w:bCs/>
          <w:spacing w:val="-1"/>
          <w:sz w:val="24"/>
          <w:szCs w:val="24"/>
        </w:rPr>
        <w:t>d</w:t>
      </w:r>
      <w:r w:rsidRPr="006D2A27">
        <w:rPr>
          <w:rFonts w:ascii="Arial" w:hAnsi="Arial" w:cs="Arial"/>
          <w:b/>
          <w:bCs/>
          <w:sz w:val="24"/>
          <w:szCs w:val="24"/>
        </w:rPr>
        <w:t>e</w:t>
      </w:r>
      <w:r w:rsidRPr="006D2A27">
        <w:rPr>
          <w:rFonts w:ascii="Arial" w:hAnsi="Arial" w:cs="Arial"/>
          <w:b/>
          <w:bCs/>
          <w:spacing w:val="-3"/>
          <w:sz w:val="24"/>
          <w:szCs w:val="24"/>
        </w:rPr>
        <w:t xml:space="preserve"> </w:t>
      </w:r>
      <w:r w:rsidRPr="006D2A27">
        <w:rPr>
          <w:rFonts w:ascii="Arial" w:hAnsi="Arial" w:cs="Arial"/>
          <w:b/>
          <w:bCs/>
          <w:sz w:val="24"/>
          <w:szCs w:val="24"/>
        </w:rPr>
        <w:t>l</w:t>
      </w:r>
      <w:r w:rsidRPr="006D2A27">
        <w:rPr>
          <w:rFonts w:ascii="Arial" w:hAnsi="Arial" w:cs="Arial"/>
          <w:b/>
          <w:bCs/>
          <w:spacing w:val="1"/>
          <w:sz w:val="24"/>
          <w:szCs w:val="24"/>
        </w:rPr>
        <w:t>a</w:t>
      </w:r>
      <w:r w:rsidRPr="006D2A27">
        <w:rPr>
          <w:rFonts w:ascii="Arial" w:hAnsi="Arial" w:cs="Arial"/>
          <w:b/>
          <w:bCs/>
          <w:sz w:val="24"/>
          <w:szCs w:val="24"/>
        </w:rPr>
        <w:t xml:space="preserve">) </w:t>
      </w:r>
      <w:r w:rsidRPr="006D2A27">
        <w:rPr>
          <w:rFonts w:ascii="Arial" w:hAnsi="Arial" w:cs="Arial"/>
          <w:b/>
          <w:bCs/>
          <w:spacing w:val="1"/>
          <w:sz w:val="24"/>
          <w:szCs w:val="24"/>
        </w:rPr>
        <w:t>a</w:t>
      </w:r>
      <w:r w:rsidRPr="006D2A27">
        <w:rPr>
          <w:rFonts w:ascii="Arial" w:hAnsi="Arial" w:cs="Arial"/>
          <w:b/>
          <w:bCs/>
          <w:sz w:val="24"/>
          <w:szCs w:val="24"/>
        </w:rPr>
        <w:t>po</w:t>
      </w:r>
      <w:r w:rsidRPr="006D2A27">
        <w:rPr>
          <w:rFonts w:ascii="Arial" w:hAnsi="Arial" w:cs="Arial"/>
          <w:b/>
          <w:bCs/>
          <w:spacing w:val="-1"/>
          <w:sz w:val="24"/>
          <w:szCs w:val="24"/>
        </w:rPr>
        <w:t>d</w:t>
      </w:r>
      <w:r w:rsidRPr="006D2A27">
        <w:rPr>
          <w:rFonts w:ascii="Arial" w:hAnsi="Arial" w:cs="Arial"/>
          <w:b/>
          <w:bCs/>
          <w:spacing w:val="1"/>
          <w:sz w:val="24"/>
          <w:szCs w:val="24"/>
        </w:rPr>
        <w:t>e</w:t>
      </w:r>
      <w:r w:rsidRPr="006D2A27">
        <w:rPr>
          <w:rFonts w:ascii="Arial" w:hAnsi="Arial" w:cs="Arial"/>
          <w:b/>
          <w:bCs/>
          <w:spacing w:val="-2"/>
          <w:sz w:val="24"/>
          <w:szCs w:val="24"/>
        </w:rPr>
        <w:t>r</w:t>
      </w:r>
      <w:r w:rsidRPr="006D2A27">
        <w:rPr>
          <w:rFonts w:ascii="Arial" w:hAnsi="Arial" w:cs="Arial"/>
          <w:b/>
          <w:bCs/>
          <w:spacing w:val="1"/>
          <w:sz w:val="24"/>
          <w:szCs w:val="24"/>
        </w:rPr>
        <w:t>a</w:t>
      </w:r>
      <w:r w:rsidRPr="006D2A27">
        <w:rPr>
          <w:rFonts w:ascii="Arial" w:hAnsi="Arial" w:cs="Arial"/>
          <w:b/>
          <w:bCs/>
          <w:sz w:val="24"/>
          <w:szCs w:val="24"/>
        </w:rPr>
        <w:t>do(</w:t>
      </w:r>
      <w:r w:rsidRPr="006D2A27">
        <w:rPr>
          <w:rFonts w:ascii="Arial" w:hAnsi="Arial" w:cs="Arial"/>
          <w:b/>
          <w:bCs/>
          <w:spacing w:val="-2"/>
          <w:sz w:val="24"/>
          <w:szCs w:val="24"/>
        </w:rPr>
        <w:t>a</w:t>
      </w:r>
      <w:r w:rsidRPr="006D2A27">
        <w:rPr>
          <w:rFonts w:ascii="Arial" w:hAnsi="Arial" w:cs="Arial"/>
          <w:b/>
          <w:bCs/>
          <w:sz w:val="24"/>
          <w:szCs w:val="24"/>
        </w:rPr>
        <w:t>)</w:t>
      </w:r>
      <w:r w:rsidRPr="006D2A27">
        <w:rPr>
          <w:rFonts w:ascii="Arial" w:hAnsi="Arial" w:cs="Arial"/>
          <w:b/>
          <w:bCs/>
          <w:spacing w:val="-7"/>
          <w:sz w:val="24"/>
          <w:szCs w:val="24"/>
        </w:rPr>
        <w:t xml:space="preserve"> </w:t>
      </w:r>
      <w:r w:rsidRPr="006D2A27">
        <w:rPr>
          <w:rFonts w:ascii="Arial" w:hAnsi="Arial" w:cs="Arial"/>
          <w:b/>
          <w:bCs/>
          <w:sz w:val="24"/>
          <w:szCs w:val="24"/>
        </w:rPr>
        <w:t>o</w:t>
      </w:r>
      <w:r w:rsidRPr="006D2A27">
        <w:rPr>
          <w:rFonts w:ascii="Arial" w:hAnsi="Arial" w:cs="Arial"/>
          <w:b/>
          <w:bCs/>
          <w:spacing w:val="-1"/>
          <w:sz w:val="24"/>
          <w:szCs w:val="24"/>
        </w:rPr>
        <w:t xml:space="preserve"> </w:t>
      </w:r>
      <w:r w:rsidRPr="006D2A27">
        <w:rPr>
          <w:rFonts w:ascii="Arial" w:hAnsi="Arial" w:cs="Arial"/>
          <w:b/>
          <w:bCs/>
          <w:sz w:val="24"/>
          <w:szCs w:val="24"/>
        </w:rPr>
        <w:t>r</w:t>
      </w:r>
      <w:r w:rsidRPr="006D2A27">
        <w:rPr>
          <w:rFonts w:ascii="Arial" w:hAnsi="Arial" w:cs="Arial"/>
          <w:b/>
          <w:bCs/>
          <w:spacing w:val="1"/>
          <w:sz w:val="24"/>
          <w:szCs w:val="24"/>
        </w:rPr>
        <w:t>e</w:t>
      </w:r>
      <w:r w:rsidRPr="006D2A27">
        <w:rPr>
          <w:rFonts w:ascii="Arial" w:hAnsi="Arial" w:cs="Arial"/>
          <w:b/>
          <w:bCs/>
          <w:sz w:val="24"/>
          <w:szCs w:val="24"/>
        </w:rPr>
        <w:t>pr</w:t>
      </w:r>
      <w:r w:rsidRPr="006D2A27">
        <w:rPr>
          <w:rFonts w:ascii="Arial" w:hAnsi="Arial" w:cs="Arial"/>
          <w:b/>
          <w:bCs/>
          <w:spacing w:val="1"/>
          <w:sz w:val="24"/>
          <w:szCs w:val="24"/>
        </w:rPr>
        <w:t>e</w:t>
      </w:r>
      <w:r w:rsidRPr="006D2A27">
        <w:rPr>
          <w:rFonts w:ascii="Arial" w:hAnsi="Arial" w:cs="Arial"/>
          <w:b/>
          <w:bCs/>
          <w:spacing w:val="-1"/>
          <w:sz w:val="24"/>
          <w:szCs w:val="24"/>
        </w:rPr>
        <w:t>s</w:t>
      </w:r>
      <w:r w:rsidRPr="006D2A27">
        <w:rPr>
          <w:rFonts w:ascii="Arial" w:hAnsi="Arial" w:cs="Arial"/>
          <w:b/>
          <w:bCs/>
          <w:spacing w:val="1"/>
          <w:sz w:val="24"/>
          <w:szCs w:val="24"/>
        </w:rPr>
        <w:t>e</w:t>
      </w:r>
      <w:r w:rsidRPr="006D2A27">
        <w:rPr>
          <w:rFonts w:ascii="Arial" w:hAnsi="Arial" w:cs="Arial"/>
          <w:b/>
          <w:bCs/>
          <w:sz w:val="24"/>
          <w:szCs w:val="24"/>
        </w:rPr>
        <w:t>n</w:t>
      </w:r>
      <w:r w:rsidRPr="006D2A27">
        <w:rPr>
          <w:rFonts w:ascii="Arial" w:hAnsi="Arial" w:cs="Arial"/>
          <w:b/>
          <w:bCs/>
          <w:spacing w:val="-1"/>
          <w:sz w:val="24"/>
          <w:szCs w:val="24"/>
        </w:rPr>
        <w:t>t</w:t>
      </w:r>
      <w:r w:rsidRPr="006D2A27">
        <w:rPr>
          <w:rFonts w:ascii="Arial" w:hAnsi="Arial" w:cs="Arial"/>
          <w:b/>
          <w:bCs/>
          <w:spacing w:val="1"/>
          <w:sz w:val="24"/>
          <w:szCs w:val="24"/>
        </w:rPr>
        <w:t>a</w:t>
      </w:r>
      <w:r w:rsidRPr="006D2A27">
        <w:rPr>
          <w:rFonts w:ascii="Arial" w:hAnsi="Arial" w:cs="Arial"/>
          <w:b/>
          <w:bCs/>
          <w:sz w:val="24"/>
          <w:szCs w:val="24"/>
        </w:rPr>
        <w:t>n</w:t>
      </w:r>
      <w:r w:rsidRPr="006D2A27">
        <w:rPr>
          <w:rFonts w:ascii="Arial" w:hAnsi="Arial" w:cs="Arial"/>
          <w:b/>
          <w:bCs/>
          <w:spacing w:val="-1"/>
          <w:sz w:val="24"/>
          <w:szCs w:val="24"/>
        </w:rPr>
        <w:t>t</w:t>
      </w:r>
      <w:r w:rsidRPr="006D2A27">
        <w:rPr>
          <w:rFonts w:ascii="Arial" w:hAnsi="Arial" w:cs="Arial"/>
          <w:b/>
          <w:bCs/>
          <w:sz w:val="24"/>
          <w:szCs w:val="24"/>
        </w:rPr>
        <w:t>e</w:t>
      </w:r>
      <w:r w:rsidRPr="006D2A27">
        <w:rPr>
          <w:rFonts w:ascii="Arial" w:hAnsi="Arial" w:cs="Arial"/>
          <w:b/>
          <w:bCs/>
          <w:spacing w:val="-8"/>
          <w:sz w:val="24"/>
          <w:szCs w:val="24"/>
        </w:rPr>
        <w:t xml:space="preserve"> </w:t>
      </w:r>
      <w:r w:rsidRPr="006D2A27">
        <w:rPr>
          <w:rFonts w:ascii="Arial" w:hAnsi="Arial" w:cs="Arial"/>
          <w:b/>
          <w:bCs/>
          <w:spacing w:val="1"/>
          <w:sz w:val="24"/>
          <w:szCs w:val="24"/>
        </w:rPr>
        <w:t>le</w:t>
      </w:r>
      <w:r w:rsidRPr="006D2A27">
        <w:rPr>
          <w:rFonts w:ascii="Arial" w:hAnsi="Arial" w:cs="Arial"/>
          <w:b/>
          <w:bCs/>
          <w:spacing w:val="-3"/>
          <w:w w:val="99"/>
          <w:sz w:val="24"/>
          <w:szCs w:val="24"/>
        </w:rPr>
        <w:t>g</w:t>
      </w:r>
      <w:r w:rsidRPr="006D2A27">
        <w:rPr>
          <w:rFonts w:ascii="Arial" w:hAnsi="Arial" w:cs="Arial"/>
          <w:b/>
          <w:bCs/>
          <w:spacing w:val="1"/>
          <w:sz w:val="24"/>
          <w:szCs w:val="24"/>
        </w:rPr>
        <w:t>a</w:t>
      </w:r>
      <w:r w:rsidRPr="006D2A27">
        <w:rPr>
          <w:rFonts w:ascii="Arial" w:hAnsi="Arial" w:cs="Arial"/>
          <w:b/>
          <w:bCs/>
          <w:sz w:val="24"/>
          <w:szCs w:val="24"/>
        </w:rPr>
        <w:t>l.</w:t>
      </w:r>
    </w:p>
    <w:sectPr w:rsidR="001E5744" w:rsidRPr="006D2A27" w:rsidSect="00152C28">
      <w:pgSz w:w="11920" w:h="16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0156"/>
    <w:multiLevelType w:val="hybridMultilevel"/>
    <w:tmpl w:val="FE1E7C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249363F4"/>
    <w:multiLevelType w:val="hybridMultilevel"/>
    <w:tmpl w:val="1C74E26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2A483455"/>
    <w:multiLevelType w:val="hybridMultilevel"/>
    <w:tmpl w:val="AF9EDEB8"/>
    <w:lvl w:ilvl="0" w:tplc="C9ECF432">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6" w15:restartNumberingAfterBreak="0">
    <w:nsid w:val="2FCE3C43"/>
    <w:multiLevelType w:val="hybridMultilevel"/>
    <w:tmpl w:val="88B62582"/>
    <w:lvl w:ilvl="0" w:tplc="F11A09F0">
      <w:start w:val="1"/>
      <w:numFmt w:val="lowerLetter"/>
      <w:lvlText w:val="%1)"/>
      <w:lvlJc w:val="left"/>
      <w:pPr>
        <w:ind w:left="1800" w:hanging="360"/>
      </w:pPr>
      <w:rPr>
        <w:rFonts w:cs="Times New Roman" w:hint="default"/>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7" w15:restartNumberingAfterBreak="0">
    <w:nsid w:val="3530277A"/>
    <w:multiLevelType w:val="hybridMultilevel"/>
    <w:tmpl w:val="AC06CCB4"/>
    <w:lvl w:ilvl="0" w:tplc="FB1AC45C">
      <w:start w:val="1"/>
      <w:numFmt w:val="decimal"/>
      <w:lvlText w:val="%1)"/>
      <w:lvlJc w:val="left"/>
      <w:pPr>
        <w:ind w:left="720" w:hanging="360"/>
      </w:pPr>
      <w:rPr>
        <w:rFonts w:eastAsia="Times New Roman" w:cs="Times New Roman" w:hint="default"/>
        <w:b/>
        <w:color w:val="00000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0"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5F6028D2"/>
    <w:multiLevelType w:val="hybridMultilevel"/>
    <w:tmpl w:val="095430EE"/>
    <w:lvl w:ilvl="0" w:tplc="6F14D54A">
      <w:start w:val="6"/>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5FC00624"/>
    <w:multiLevelType w:val="hybridMultilevel"/>
    <w:tmpl w:val="82C4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B2A16"/>
    <w:multiLevelType w:val="multilevel"/>
    <w:tmpl w:val="95F2C9E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66410974"/>
    <w:multiLevelType w:val="hybridMultilevel"/>
    <w:tmpl w:val="95DA3162"/>
    <w:lvl w:ilvl="0" w:tplc="36ACD270">
      <w:start w:val="1"/>
      <w:numFmt w:val="decimal"/>
      <w:lvlText w:val="%1)"/>
      <w:lvlJc w:val="left"/>
      <w:pPr>
        <w:ind w:left="720" w:hanging="360"/>
      </w:pPr>
      <w:rPr>
        <w:rFonts w:eastAsia="Times New Roman" w:cs="Times New Roman" w:hint="default"/>
        <w:b/>
        <w:color w:val="00000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5C668E"/>
    <w:multiLevelType w:val="hybridMultilevel"/>
    <w:tmpl w:val="21448B4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5"/>
  </w:num>
  <w:num w:numId="2">
    <w:abstractNumId w:val="17"/>
  </w:num>
  <w:num w:numId="3">
    <w:abstractNumId w:val="9"/>
  </w:num>
  <w:num w:numId="4">
    <w:abstractNumId w:val="8"/>
  </w:num>
  <w:num w:numId="5">
    <w:abstractNumId w:val="2"/>
  </w:num>
  <w:num w:numId="6">
    <w:abstractNumId w:val="19"/>
  </w:num>
  <w:num w:numId="7">
    <w:abstractNumId w:val="11"/>
  </w:num>
  <w:num w:numId="8">
    <w:abstractNumId w:val="16"/>
  </w:num>
  <w:num w:numId="9">
    <w:abstractNumId w:val="10"/>
  </w:num>
  <w:num w:numId="10">
    <w:abstractNumId w:val="1"/>
  </w:num>
  <w:num w:numId="11">
    <w:abstractNumId w:val="13"/>
  </w:num>
  <w:num w:numId="12">
    <w:abstractNumId w:val="18"/>
  </w:num>
  <w:num w:numId="13">
    <w:abstractNumId w:val="3"/>
  </w:num>
  <w:num w:numId="14">
    <w:abstractNumId w:val="0"/>
  </w:num>
  <w:num w:numId="15">
    <w:abstractNumId w:val="7"/>
  </w:num>
  <w:num w:numId="16">
    <w:abstractNumId w:val="15"/>
  </w:num>
  <w:num w:numId="17">
    <w:abstractNumId w:val="14"/>
  </w:num>
  <w:num w:numId="18">
    <w:abstractNumId w:val="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506E9"/>
    <w:rsid w:val="00062DA2"/>
    <w:rsid w:val="000774B1"/>
    <w:rsid w:val="00091CE3"/>
    <w:rsid w:val="000A6D1C"/>
    <w:rsid w:val="000B6DA5"/>
    <w:rsid w:val="000C3750"/>
    <w:rsid w:val="00126546"/>
    <w:rsid w:val="00134BF3"/>
    <w:rsid w:val="001449B7"/>
    <w:rsid w:val="00152C28"/>
    <w:rsid w:val="00160B1B"/>
    <w:rsid w:val="00164C9C"/>
    <w:rsid w:val="001654AB"/>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603C6"/>
    <w:rsid w:val="0027031B"/>
    <w:rsid w:val="00277662"/>
    <w:rsid w:val="00296C5B"/>
    <w:rsid w:val="002A2DC5"/>
    <w:rsid w:val="002A49BB"/>
    <w:rsid w:val="002B1F49"/>
    <w:rsid w:val="002C2073"/>
    <w:rsid w:val="002F438E"/>
    <w:rsid w:val="00312AB9"/>
    <w:rsid w:val="00323AAA"/>
    <w:rsid w:val="003443AA"/>
    <w:rsid w:val="0034496E"/>
    <w:rsid w:val="003626B0"/>
    <w:rsid w:val="0037549F"/>
    <w:rsid w:val="00381A5D"/>
    <w:rsid w:val="00390E7E"/>
    <w:rsid w:val="003B3B1A"/>
    <w:rsid w:val="003C0525"/>
    <w:rsid w:val="003C29F5"/>
    <w:rsid w:val="003C2AA8"/>
    <w:rsid w:val="003D6933"/>
    <w:rsid w:val="003E64B0"/>
    <w:rsid w:val="00461ED3"/>
    <w:rsid w:val="004849A2"/>
    <w:rsid w:val="004B5236"/>
    <w:rsid w:val="004D560D"/>
    <w:rsid w:val="00524E9A"/>
    <w:rsid w:val="00536A28"/>
    <w:rsid w:val="0054794D"/>
    <w:rsid w:val="00550DFC"/>
    <w:rsid w:val="00551F48"/>
    <w:rsid w:val="005605B3"/>
    <w:rsid w:val="00562A3B"/>
    <w:rsid w:val="00577C69"/>
    <w:rsid w:val="005B5527"/>
    <w:rsid w:val="005D0999"/>
    <w:rsid w:val="005F027A"/>
    <w:rsid w:val="005F0AAB"/>
    <w:rsid w:val="00601AD3"/>
    <w:rsid w:val="006078F2"/>
    <w:rsid w:val="006151B0"/>
    <w:rsid w:val="00630919"/>
    <w:rsid w:val="00635C72"/>
    <w:rsid w:val="00650485"/>
    <w:rsid w:val="00692A96"/>
    <w:rsid w:val="006B506E"/>
    <w:rsid w:val="006D02C4"/>
    <w:rsid w:val="006D2A27"/>
    <w:rsid w:val="006D5666"/>
    <w:rsid w:val="0070756F"/>
    <w:rsid w:val="007235D4"/>
    <w:rsid w:val="00755E44"/>
    <w:rsid w:val="0077270D"/>
    <w:rsid w:val="007817D0"/>
    <w:rsid w:val="0079134D"/>
    <w:rsid w:val="00794F8B"/>
    <w:rsid w:val="007A0A1E"/>
    <w:rsid w:val="007A53FF"/>
    <w:rsid w:val="007B75DF"/>
    <w:rsid w:val="007D0366"/>
    <w:rsid w:val="007D2DD2"/>
    <w:rsid w:val="007F15D3"/>
    <w:rsid w:val="007F2519"/>
    <w:rsid w:val="008126A0"/>
    <w:rsid w:val="00815251"/>
    <w:rsid w:val="008213D0"/>
    <w:rsid w:val="00834E0A"/>
    <w:rsid w:val="00843110"/>
    <w:rsid w:val="008432E0"/>
    <w:rsid w:val="00855927"/>
    <w:rsid w:val="0088173B"/>
    <w:rsid w:val="00886057"/>
    <w:rsid w:val="008946A8"/>
    <w:rsid w:val="008B430F"/>
    <w:rsid w:val="008B77B2"/>
    <w:rsid w:val="008E0A09"/>
    <w:rsid w:val="008F1937"/>
    <w:rsid w:val="0091485C"/>
    <w:rsid w:val="00915BA3"/>
    <w:rsid w:val="00921A76"/>
    <w:rsid w:val="0096244E"/>
    <w:rsid w:val="00962E93"/>
    <w:rsid w:val="009B2226"/>
    <w:rsid w:val="009C1B34"/>
    <w:rsid w:val="009D04DC"/>
    <w:rsid w:val="009E5C50"/>
    <w:rsid w:val="009F0B6A"/>
    <w:rsid w:val="009F69AD"/>
    <w:rsid w:val="00A01C8A"/>
    <w:rsid w:val="00A04297"/>
    <w:rsid w:val="00A04742"/>
    <w:rsid w:val="00A17590"/>
    <w:rsid w:val="00A31CAB"/>
    <w:rsid w:val="00A51B52"/>
    <w:rsid w:val="00A608D5"/>
    <w:rsid w:val="00A659C7"/>
    <w:rsid w:val="00A75207"/>
    <w:rsid w:val="00A91546"/>
    <w:rsid w:val="00AC6013"/>
    <w:rsid w:val="00AE2768"/>
    <w:rsid w:val="00B81829"/>
    <w:rsid w:val="00B81FF7"/>
    <w:rsid w:val="00BE4C4A"/>
    <w:rsid w:val="00C2214B"/>
    <w:rsid w:val="00C3256A"/>
    <w:rsid w:val="00C33EB4"/>
    <w:rsid w:val="00C348F0"/>
    <w:rsid w:val="00C43F73"/>
    <w:rsid w:val="00C560E6"/>
    <w:rsid w:val="00C60A51"/>
    <w:rsid w:val="00C71045"/>
    <w:rsid w:val="00C730A8"/>
    <w:rsid w:val="00C803FE"/>
    <w:rsid w:val="00C921E5"/>
    <w:rsid w:val="00C92666"/>
    <w:rsid w:val="00C93991"/>
    <w:rsid w:val="00CA3FAB"/>
    <w:rsid w:val="00CA67BF"/>
    <w:rsid w:val="00D14166"/>
    <w:rsid w:val="00D36A01"/>
    <w:rsid w:val="00D5315C"/>
    <w:rsid w:val="00D64706"/>
    <w:rsid w:val="00D825A2"/>
    <w:rsid w:val="00D926D5"/>
    <w:rsid w:val="00DC18B1"/>
    <w:rsid w:val="00DC550F"/>
    <w:rsid w:val="00DD361D"/>
    <w:rsid w:val="00DF183A"/>
    <w:rsid w:val="00DF31C6"/>
    <w:rsid w:val="00E44DE8"/>
    <w:rsid w:val="00E54083"/>
    <w:rsid w:val="00E62B09"/>
    <w:rsid w:val="00E7366E"/>
    <w:rsid w:val="00E83AF2"/>
    <w:rsid w:val="00E8678E"/>
    <w:rsid w:val="00E95B03"/>
    <w:rsid w:val="00EB6023"/>
    <w:rsid w:val="00EB7C26"/>
    <w:rsid w:val="00EC76E7"/>
    <w:rsid w:val="00EC78A4"/>
    <w:rsid w:val="00ED5670"/>
    <w:rsid w:val="00EE5A9E"/>
    <w:rsid w:val="00EF1816"/>
    <w:rsid w:val="00EF1AD7"/>
    <w:rsid w:val="00F05ED9"/>
    <w:rsid w:val="00F2017B"/>
    <w:rsid w:val="00F24ED4"/>
    <w:rsid w:val="00F349CE"/>
    <w:rsid w:val="00F51B6E"/>
    <w:rsid w:val="00F60126"/>
    <w:rsid w:val="00F66F46"/>
    <w:rsid w:val="00F670DC"/>
    <w:rsid w:val="00F67739"/>
    <w:rsid w:val="00F95108"/>
    <w:rsid w:val="00FB2B54"/>
    <w:rsid w:val="00FC4C84"/>
    <w:rsid w:val="00FE00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6965F-EE34-4961-96CA-4D9DB8B6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1052">
      <w:marLeft w:val="0"/>
      <w:marRight w:val="0"/>
      <w:marTop w:val="0"/>
      <w:marBottom w:val="0"/>
      <w:divBdr>
        <w:top w:val="none" w:sz="0" w:space="0" w:color="auto"/>
        <w:left w:val="none" w:sz="0" w:space="0" w:color="auto"/>
        <w:bottom w:val="none" w:sz="0" w:space="0" w:color="auto"/>
        <w:right w:val="none" w:sz="0" w:space="0" w:color="auto"/>
      </w:divBdr>
    </w:div>
    <w:div w:id="322661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E219-181F-4D74-A682-523AFD9C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2021-01-13T00:54:00Z</dcterms:created>
  <dcterms:modified xsi:type="dcterms:W3CDTF">2021-01-13T00:54:00Z</dcterms:modified>
</cp:coreProperties>
</file>