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5133287" w:rsidR="001B03DD" w:rsidRPr="00AB3DE5" w:rsidRDefault="006A23FF" w:rsidP="00C77739">
      <w:pPr>
        <w:jc w:val="center"/>
        <w:rPr>
          <w:rFonts w:ascii="Arial" w:hAnsi="Arial" w:cs="Arial"/>
          <w:b/>
        </w:rPr>
      </w:pPr>
      <w:r w:rsidRPr="00AB3DE5">
        <w:rPr>
          <w:rFonts w:ascii="Arial" w:hAnsi="Arial" w:cs="Arial"/>
          <w:b/>
        </w:rPr>
        <w:t>LICITACIÓN PÚBLICA LP-SC-0</w:t>
      </w:r>
      <w:r w:rsidR="002B0206">
        <w:rPr>
          <w:rFonts w:ascii="Arial" w:hAnsi="Arial" w:cs="Arial"/>
          <w:b/>
        </w:rPr>
        <w:t>16</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A554B1C" w14:textId="6C40BADA" w:rsidR="00A62AA5" w:rsidRDefault="00BC4A03" w:rsidP="00A62AA5">
      <w:pPr>
        <w:jc w:val="center"/>
        <w:rPr>
          <w:rFonts w:ascii="Arial" w:hAnsi="Arial" w:cs="Arial"/>
          <w:b/>
        </w:rPr>
      </w:pPr>
      <w:r>
        <w:rPr>
          <w:rFonts w:ascii="Arial" w:hAnsi="Arial" w:cs="Arial"/>
          <w:b/>
        </w:rPr>
        <w:t>“</w:t>
      </w:r>
      <w:r w:rsidR="00A74473">
        <w:rPr>
          <w:rFonts w:ascii="Arial" w:hAnsi="Arial" w:cs="Arial"/>
          <w:b/>
        </w:rPr>
        <w:t xml:space="preserve">SERVICIO DE </w:t>
      </w:r>
      <w:r w:rsidR="00E010FF">
        <w:rPr>
          <w:rFonts w:ascii="Arial" w:hAnsi="Arial" w:cs="Arial"/>
          <w:b/>
        </w:rPr>
        <w:t>DENSIFICACIÓN DE MUROS DEL ARCHIVO HISTÓRICO</w:t>
      </w:r>
      <w:r w:rsidR="00A62AA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43235137"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E010FF">
        <w:rPr>
          <w:rFonts w:ascii="Arial" w:hAnsi="Arial" w:cs="Arial"/>
        </w:rPr>
        <w:t>nacional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E010FF">
        <w:rPr>
          <w:rFonts w:ascii="Arial" w:hAnsi="Arial" w:cs="Arial"/>
        </w:rPr>
        <w:t>I</w:t>
      </w:r>
      <w:r w:rsidR="00D92FC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3072E3D"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2B0206">
        <w:rPr>
          <w:rFonts w:ascii="Arial" w:hAnsi="Arial" w:cs="Arial"/>
        </w:rPr>
        <w:t>16</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EB3019" w:rsidRPr="00BF1CB4" w14:paraId="09DBF3F4" w14:textId="4B4A380A" w:rsidTr="00EB3019">
        <w:trPr>
          <w:trHeight w:val="279"/>
          <w:jc w:val="center"/>
        </w:trPr>
        <w:tc>
          <w:tcPr>
            <w:tcW w:w="2122" w:type="dxa"/>
            <w:shd w:val="clear" w:color="auto" w:fill="BFBFBF" w:themeFill="background1" w:themeFillShade="BF"/>
            <w:noWrap/>
            <w:vAlign w:val="center"/>
          </w:tcPr>
          <w:p w14:paraId="73AF1F1D" w14:textId="77777777"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4C151140" w:rsidR="00EB3019" w:rsidRPr="00120C62" w:rsidRDefault="00ED55E6"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CARACTERÍS</w:t>
            </w:r>
            <w:r w:rsidR="00EB3019">
              <w:rPr>
                <w:rFonts w:ascii="Arial" w:hAnsi="Arial" w:cs="Arial"/>
                <w:b/>
                <w:bCs/>
                <w:color w:val="000000"/>
                <w:sz w:val="14"/>
                <w:szCs w:val="14"/>
                <w:lang w:val="es-MX" w:eastAsia="es-MX"/>
              </w:rPr>
              <w:t>TICAS</w:t>
            </w:r>
          </w:p>
        </w:tc>
        <w:tc>
          <w:tcPr>
            <w:tcW w:w="1967" w:type="dxa"/>
            <w:shd w:val="clear" w:color="auto" w:fill="BFBFBF" w:themeFill="background1" w:themeFillShade="BF"/>
            <w:vAlign w:val="center"/>
          </w:tcPr>
          <w:p w14:paraId="6E41273E" w14:textId="79D68AC9" w:rsidR="00EB3019" w:rsidRPr="00120C62" w:rsidRDefault="0094031E"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TIEMPO DE ENTREGA</w:t>
            </w:r>
          </w:p>
        </w:tc>
        <w:tc>
          <w:tcPr>
            <w:tcW w:w="1508" w:type="dxa"/>
            <w:shd w:val="clear" w:color="auto" w:fill="BFBFBF" w:themeFill="background1" w:themeFillShade="BF"/>
            <w:vAlign w:val="center"/>
          </w:tcPr>
          <w:p w14:paraId="729644D7" w14:textId="6507908C"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954B0DF" w14:textId="257DAE7F"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B3019" w:rsidRPr="00BF1CB4" w14:paraId="6E64FD8A" w14:textId="411241AA" w:rsidTr="00383E06">
        <w:trPr>
          <w:trHeight w:val="1923"/>
          <w:jc w:val="center"/>
        </w:trPr>
        <w:tc>
          <w:tcPr>
            <w:tcW w:w="2122" w:type="dxa"/>
            <w:shd w:val="clear" w:color="auto" w:fill="auto"/>
            <w:noWrap/>
            <w:vAlign w:val="center"/>
          </w:tcPr>
          <w:p w14:paraId="73868DFE" w14:textId="448C5CFB" w:rsidR="00383E06" w:rsidRPr="00383E06" w:rsidRDefault="00383E06" w:rsidP="00383E06">
            <w:pPr>
              <w:spacing w:after="200" w:line="276" w:lineRule="auto"/>
              <w:jc w:val="both"/>
              <w:rPr>
                <w:rFonts w:ascii="Arial" w:eastAsiaTheme="minorHAnsi" w:hAnsi="Arial" w:cs="Arial"/>
                <w:noProof/>
                <w:sz w:val="16"/>
                <w:szCs w:val="16"/>
                <w:lang w:val="es-MX" w:eastAsia="en-US"/>
              </w:rPr>
            </w:pPr>
            <w:r w:rsidRPr="00383E06">
              <w:rPr>
                <w:rFonts w:ascii="Arial" w:eastAsiaTheme="minorHAnsi" w:hAnsi="Arial" w:cs="Arial"/>
                <w:noProof/>
                <w:sz w:val="16"/>
                <w:szCs w:val="16"/>
                <w:lang w:val="es-MX" w:eastAsia="en-US"/>
              </w:rPr>
              <w:t>1.Limpieza a profundidad de la superficie de mur</w:t>
            </w:r>
            <w:r w:rsidR="00A94899">
              <w:rPr>
                <w:rFonts w:ascii="Arial" w:eastAsiaTheme="minorHAnsi" w:hAnsi="Arial" w:cs="Arial"/>
                <w:noProof/>
                <w:sz w:val="16"/>
                <w:szCs w:val="16"/>
                <w:lang w:val="es-MX" w:eastAsia="en-US"/>
              </w:rPr>
              <w:t>os de concreto del archivo histó</w:t>
            </w:r>
            <w:r w:rsidRPr="00383E06">
              <w:rPr>
                <w:rFonts w:ascii="Arial" w:eastAsiaTheme="minorHAnsi" w:hAnsi="Arial" w:cs="Arial"/>
                <w:noProof/>
                <w:sz w:val="16"/>
                <w:szCs w:val="16"/>
                <w:lang w:val="es-MX" w:eastAsia="en-US"/>
              </w:rPr>
              <w:t xml:space="preserve">rico. </w:t>
            </w:r>
          </w:p>
          <w:p w14:paraId="52DC2CB4" w14:textId="7D6B5F5F" w:rsidR="00E22522" w:rsidRDefault="00383E06" w:rsidP="00383E06">
            <w:pPr>
              <w:spacing w:after="200" w:line="276" w:lineRule="auto"/>
              <w:contextualSpacing/>
              <w:jc w:val="both"/>
              <w:rPr>
                <w:rFonts w:ascii="Arial" w:eastAsiaTheme="minorHAnsi" w:hAnsi="Arial" w:cs="Arial"/>
                <w:noProof/>
                <w:sz w:val="16"/>
                <w:szCs w:val="16"/>
                <w:lang w:val="es-MX" w:eastAsia="en-US"/>
              </w:rPr>
            </w:pPr>
            <w:r w:rsidRPr="00383E06">
              <w:rPr>
                <w:rFonts w:ascii="Arial" w:eastAsiaTheme="minorHAnsi" w:hAnsi="Arial" w:cs="Arial"/>
                <w:noProof/>
                <w:sz w:val="16"/>
                <w:szCs w:val="16"/>
                <w:lang w:val="es-MX" w:eastAsia="en-US"/>
              </w:rPr>
              <w:t>2.Densificación de muros de concreto del archivo histórico</w:t>
            </w:r>
            <w:r w:rsidR="00E22522">
              <w:rPr>
                <w:rFonts w:ascii="Arial" w:eastAsiaTheme="minorHAnsi" w:hAnsi="Arial" w:cs="Arial"/>
                <w:noProof/>
                <w:sz w:val="16"/>
                <w:szCs w:val="16"/>
                <w:lang w:val="es-MX" w:eastAsia="en-US"/>
              </w:rPr>
              <w:t>.</w:t>
            </w:r>
          </w:p>
          <w:p w14:paraId="1B36AE55" w14:textId="77777777" w:rsidR="00E22522" w:rsidRDefault="00E22522" w:rsidP="00383E06">
            <w:pPr>
              <w:spacing w:after="200" w:line="276" w:lineRule="auto"/>
              <w:contextualSpacing/>
              <w:jc w:val="both"/>
              <w:rPr>
                <w:rFonts w:ascii="Arial" w:eastAsiaTheme="minorHAnsi" w:hAnsi="Arial" w:cs="Arial"/>
                <w:noProof/>
                <w:sz w:val="16"/>
                <w:szCs w:val="16"/>
                <w:lang w:val="es-MX" w:eastAsia="en-US"/>
              </w:rPr>
            </w:pPr>
          </w:p>
          <w:p w14:paraId="0C023373" w14:textId="52CD27B4" w:rsidR="00383E06" w:rsidRPr="00383E06" w:rsidRDefault="00383E06" w:rsidP="00383E06">
            <w:pPr>
              <w:spacing w:after="200" w:line="276" w:lineRule="auto"/>
              <w:contextualSpacing/>
              <w:jc w:val="both"/>
              <w:rPr>
                <w:rFonts w:ascii="Arial" w:eastAsiaTheme="minorHAnsi" w:hAnsi="Arial" w:cs="Arial"/>
                <w:noProof/>
                <w:sz w:val="16"/>
                <w:szCs w:val="16"/>
                <w:lang w:val="es-MX" w:eastAsia="en-US"/>
              </w:rPr>
            </w:pPr>
            <w:r w:rsidRPr="00383E06">
              <w:rPr>
                <w:rFonts w:ascii="Arial" w:eastAsiaTheme="minorHAnsi" w:hAnsi="Arial" w:cs="Arial"/>
                <w:noProof/>
                <w:sz w:val="16"/>
                <w:szCs w:val="16"/>
                <w:lang w:val="es-MX" w:eastAsia="en-US"/>
              </w:rPr>
              <w:t>1,100 m2 de superficie total.</w:t>
            </w:r>
          </w:p>
          <w:p w14:paraId="0B913DF9" w14:textId="22D8D596" w:rsidR="00EB3019" w:rsidRPr="00383E06" w:rsidRDefault="00FE5EA5" w:rsidP="00FE5EA5">
            <w:pPr>
              <w:jc w:val="both"/>
              <w:rPr>
                <w:rFonts w:ascii="Arial" w:hAnsi="Arial" w:cs="Arial"/>
                <w:sz w:val="16"/>
                <w:szCs w:val="16"/>
                <w:highlight w:val="yellow"/>
              </w:rPr>
            </w:pPr>
            <w:r w:rsidRPr="00383E06">
              <w:rPr>
                <w:rFonts w:ascii="Arial" w:hAnsi="Arial" w:cs="Arial"/>
                <w:sz w:val="16"/>
                <w:szCs w:val="16"/>
              </w:rPr>
              <w:t>.</w:t>
            </w:r>
          </w:p>
        </w:tc>
        <w:tc>
          <w:tcPr>
            <w:tcW w:w="1701" w:type="dxa"/>
            <w:shd w:val="clear" w:color="auto" w:fill="FFFFFF" w:themeFill="background1"/>
            <w:vAlign w:val="center"/>
          </w:tcPr>
          <w:p w14:paraId="7012F94E" w14:textId="7529DB68" w:rsidR="00EB3019" w:rsidRDefault="00EB3019" w:rsidP="00CF051C">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sidR="00322A16">
              <w:rPr>
                <w:rFonts w:ascii="Arial" w:hAnsi="Arial" w:cs="Arial"/>
                <w:i/>
                <w:sz w:val="16"/>
                <w:szCs w:val="16"/>
              </w:rPr>
              <w:t xml:space="preserve"> 2</w:t>
            </w:r>
            <w:r w:rsidRPr="00120C62">
              <w:rPr>
                <w:rFonts w:ascii="Arial" w:hAnsi="Arial" w:cs="Arial"/>
                <w:i/>
                <w:sz w:val="16"/>
                <w:szCs w:val="16"/>
              </w:rPr>
              <w:t xml:space="preserve"> Especificaciones Técnicas</w:t>
            </w:r>
          </w:p>
          <w:p w14:paraId="799DF958" w14:textId="1B64CD73" w:rsidR="00EB3019" w:rsidRPr="00120C62" w:rsidRDefault="00EB3019" w:rsidP="00120C62">
            <w:pPr>
              <w:jc w:val="both"/>
              <w:rPr>
                <w:rFonts w:ascii="Arial" w:hAnsi="Arial" w:cs="Arial"/>
                <w:bCs/>
                <w:color w:val="000000"/>
                <w:sz w:val="16"/>
                <w:szCs w:val="16"/>
                <w:lang w:val="es-MX" w:eastAsia="es-MX"/>
              </w:rPr>
            </w:pPr>
          </w:p>
        </w:tc>
        <w:tc>
          <w:tcPr>
            <w:tcW w:w="1967" w:type="dxa"/>
            <w:shd w:val="clear" w:color="auto" w:fill="FFFFFF" w:themeFill="background1"/>
            <w:vAlign w:val="center"/>
          </w:tcPr>
          <w:p w14:paraId="14FB84AB" w14:textId="77777777" w:rsidR="00EB3019" w:rsidRPr="0093115F" w:rsidRDefault="00EB3019" w:rsidP="00120C62">
            <w:pPr>
              <w:jc w:val="both"/>
              <w:rPr>
                <w:rFonts w:ascii="Arial" w:hAnsi="Arial" w:cs="Arial"/>
                <w:bCs/>
                <w:color w:val="000000"/>
                <w:sz w:val="16"/>
                <w:szCs w:val="16"/>
                <w:highlight w:val="yellow"/>
                <w:lang w:val="es-MX" w:eastAsia="es-MX"/>
              </w:rPr>
            </w:pPr>
          </w:p>
          <w:p w14:paraId="7EE46F81" w14:textId="77777777" w:rsidR="00EB3019" w:rsidRPr="00A94899" w:rsidRDefault="00EB3019" w:rsidP="00120C62">
            <w:pPr>
              <w:jc w:val="both"/>
              <w:rPr>
                <w:rFonts w:ascii="Arial" w:hAnsi="Arial" w:cs="Arial"/>
                <w:bCs/>
                <w:color w:val="000000"/>
                <w:sz w:val="16"/>
                <w:szCs w:val="16"/>
                <w:lang w:val="es-MX" w:eastAsia="es-MX"/>
              </w:rPr>
            </w:pPr>
          </w:p>
          <w:p w14:paraId="4C5BA5F2" w14:textId="6C6AEABD" w:rsidR="00EB3019" w:rsidRPr="00A94899" w:rsidRDefault="004E49DB" w:rsidP="00EB3019">
            <w:pPr>
              <w:jc w:val="both"/>
              <w:rPr>
                <w:rFonts w:ascii="Arial" w:hAnsi="Arial" w:cs="Arial"/>
                <w:sz w:val="16"/>
                <w:szCs w:val="16"/>
              </w:rPr>
            </w:pPr>
            <w:r w:rsidRPr="00A94899">
              <w:rPr>
                <w:rFonts w:ascii="Arial" w:hAnsi="Arial" w:cs="Arial"/>
                <w:sz w:val="16"/>
                <w:szCs w:val="16"/>
              </w:rPr>
              <w:t xml:space="preserve">En un máximo de </w:t>
            </w:r>
            <w:r w:rsidR="0094031E">
              <w:rPr>
                <w:rFonts w:ascii="Arial" w:hAnsi="Arial" w:cs="Arial"/>
                <w:sz w:val="16"/>
                <w:szCs w:val="16"/>
              </w:rPr>
              <w:t>40</w:t>
            </w:r>
            <w:r w:rsidR="00EB3019" w:rsidRPr="00A94899">
              <w:rPr>
                <w:rFonts w:ascii="Arial" w:hAnsi="Arial" w:cs="Arial"/>
                <w:sz w:val="16"/>
                <w:szCs w:val="16"/>
              </w:rPr>
              <w:t xml:space="preserve"> días hábiles</w:t>
            </w:r>
            <w:r w:rsidR="0094031E">
              <w:rPr>
                <w:rFonts w:ascii="Arial" w:hAnsi="Arial" w:cs="Arial"/>
                <w:sz w:val="16"/>
                <w:szCs w:val="16"/>
              </w:rPr>
              <w:t xml:space="preserve"> posterior a la</w:t>
            </w:r>
            <w:r w:rsidR="00EB3019" w:rsidRPr="00A94899">
              <w:rPr>
                <w:rFonts w:ascii="Arial" w:hAnsi="Arial" w:cs="Arial"/>
                <w:sz w:val="16"/>
                <w:szCs w:val="16"/>
              </w:rPr>
              <w:t xml:space="preserve"> </w:t>
            </w:r>
            <w:r w:rsidR="0094031E">
              <w:rPr>
                <w:rFonts w:ascii="Arial" w:hAnsi="Arial" w:cs="Arial"/>
                <w:sz w:val="16"/>
                <w:szCs w:val="16"/>
              </w:rPr>
              <w:t>publicación</w:t>
            </w:r>
            <w:r w:rsidR="00EB3019" w:rsidRPr="00A94899">
              <w:rPr>
                <w:rFonts w:ascii="Arial" w:hAnsi="Arial" w:cs="Arial"/>
                <w:sz w:val="16"/>
                <w:szCs w:val="16"/>
              </w:rPr>
              <w:t xml:space="preserve"> del acta de fallo.</w:t>
            </w:r>
          </w:p>
          <w:p w14:paraId="04F994B4" w14:textId="02A7EAB9" w:rsidR="00EB3019" w:rsidRPr="0093115F" w:rsidRDefault="00EB3019" w:rsidP="00120C62">
            <w:pPr>
              <w:jc w:val="both"/>
              <w:rPr>
                <w:rFonts w:ascii="Arial" w:hAnsi="Arial" w:cs="Arial"/>
                <w:bCs/>
                <w:color w:val="000000"/>
                <w:sz w:val="16"/>
                <w:szCs w:val="16"/>
                <w:highlight w:val="yellow"/>
                <w:lang w:val="es-MX" w:eastAsia="es-MX"/>
              </w:rPr>
            </w:pPr>
          </w:p>
        </w:tc>
        <w:tc>
          <w:tcPr>
            <w:tcW w:w="1508" w:type="dxa"/>
            <w:shd w:val="clear" w:color="auto" w:fill="FFFFFF" w:themeFill="background1"/>
            <w:vAlign w:val="center"/>
          </w:tcPr>
          <w:p w14:paraId="69474668" w14:textId="548B744D" w:rsidR="00EB3019" w:rsidRPr="00120C62" w:rsidRDefault="00EB3019"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8" w:type="dxa"/>
            <w:shd w:val="clear" w:color="auto" w:fill="FFFFFF" w:themeFill="background1"/>
            <w:vAlign w:val="center"/>
          </w:tcPr>
          <w:p w14:paraId="746DEAE6" w14:textId="3B568EBE" w:rsidR="00EB3019" w:rsidRPr="00120C62" w:rsidRDefault="00EB3019"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1426FDC6"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C23BA6">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bienes y/o servicios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261E2F4C" w:rsidR="00EB3019" w:rsidRPr="00EB3019" w:rsidRDefault="004014A9" w:rsidP="00EB301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FE5EA5" w:rsidRPr="00A434C8">
        <w:rPr>
          <w:rFonts w:ascii="Arial" w:hAnsi="Arial" w:cs="Arial"/>
          <w:b/>
        </w:rPr>
        <w:t>3511 conservación y mantenimiento menor de inmueble</w:t>
      </w:r>
      <w:r w:rsidR="00EB3019" w:rsidRPr="00EB3019">
        <w:rPr>
          <w:rFonts w:ascii="Arial" w:hAnsi="Arial" w:cs="Arial"/>
        </w:rPr>
        <w:t>, del presupuesto de egresos de la ASEJ, para el ejercicio fiscal 20</w:t>
      </w:r>
      <w:r w:rsidR="00EB3019">
        <w:rPr>
          <w:rFonts w:ascii="Arial" w:hAnsi="Arial" w:cs="Arial"/>
        </w:rPr>
        <w:t>21</w:t>
      </w:r>
      <w:r w:rsidR="00FE5EA5">
        <w:rPr>
          <w:rFonts w:ascii="Arial" w:hAnsi="Arial" w:cs="Arial"/>
        </w:rPr>
        <w:t>.</w:t>
      </w:r>
    </w:p>
    <w:p w14:paraId="366BE7AD" w14:textId="34134C96" w:rsidR="006D11C5" w:rsidRDefault="006D11C5"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A2E84D1" w:rsidR="00CB779B" w:rsidRPr="00674C29" w:rsidRDefault="00AC716A" w:rsidP="00BA3DCF">
            <w:pPr>
              <w:jc w:val="both"/>
              <w:rPr>
                <w:rFonts w:ascii="Arial" w:hAnsi="Arial" w:cs="Arial"/>
                <w:b/>
                <w:sz w:val="20"/>
                <w:szCs w:val="20"/>
              </w:rPr>
            </w:pPr>
            <w:r>
              <w:rPr>
                <w:rFonts w:ascii="Arial" w:hAnsi="Arial" w:cs="Arial"/>
                <w:b/>
                <w:sz w:val="20"/>
                <w:szCs w:val="20"/>
              </w:rPr>
              <w:t xml:space="preserve">Lunes 01 de </w:t>
            </w:r>
            <w:r w:rsidR="00DC5285">
              <w:rPr>
                <w:rFonts w:ascii="Arial" w:hAnsi="Arial" w:cs="Arial"/>
                <w:b/>
                <w:sz w:val="20"/>
                <w:szCs w:val="20"/>
              </w:rPr>
              <w:t>noviembre</w:t>
            </w:r>
            <w:r w:rsidR="0099058E">
              <w:rPr>
                <w:rFonts w:ascii="Arial" w:hAnsi="Arial" w:cs="Arial"/>
                <w:b/>
                <w:sz w:val="20"/>
                <w:szCs w:val="20"/>
              </w:rPr>
              <w:t xml:space="preserve"> </w:t>
            </w:r>
            <w:r w:rsidR="00D10D5C">
              <w:rPr>
                <w:rFonts w:ascii="Arial" w:hAnsi="Arial" w:cs="Arial"/>
                <w:b/>
                <w:sz w:val="20"/>
                <w:szCs w:val="20"/>
              </w:rPr>
              <w:t>de 2021</w:t>
            </w:r>
            <w:r w:rsidR="00F67863">
              <w:rPr>
                <w:rFonts w:ascii="Arial" w:hAnsi="Arial" w:cs="Arial"/>
                <w:b/>
                <w:sz w:val="20"/>
                <w:szCs w:val="20"/>
              </w:rPr>
              <w:t>.</w:t>
            </w:r>
          </w:p>
        </w:tc>
      </w:tr>
      <w:tr w:rsidR="00EB3019" w:rsidRPr="00F224CB" w14:paraId="213CA777" w14:textId="77777777" w:rsidTr="004A56F3">
        <w:tc>
          <w:tcPr>
            <w:tcW w:w="2034" w:type="dxa"/>
            <w:shd w:val="clear" w:color="auto" w:fill="BFBFBF" w:themeFill="background1" w:themeFillShade="BF"/>
            <w:vAlign w:val="center"/>
          </w:tcPr>
          <w:p w14:paraId="72053BDB" w14:textId="77777777" w:rsidR="00EB3019" w:rsidRDefault="00EB3019" w:rsidP="004A56F3">
            <w:pPr>
              <w:jc w:val="center"/>
              <w:rPr>
                <w:rFonts w:ascii="Arial" w:hAnsi="Arial" w:cs="Arial"/>
                <w:b/>
                <w:sz w:val="20"/>
                <w:szCs w:val="20"/>
              </w:rPr>
            </w:pPr>
            <w:r>
              <w:rPr>
                <w:rFonts w:ascii="Arial" w:hAnsi="Arial" w:cs="Arial"/>
                <w:b/>
                <w:sz w:val="20"/>
                <w:szCs w:val="20"/>
              </w:rPr>
              <w:t>VISITA</w:t>
            </w:r>
          </w:p>
          <w:p w14:paraId="21C7D0B5" w14:textId="1F8062F9" w:rsidR="00EB3019" w:rsidRDefault="00EB3019" w:rsidP="004A56F3">
            <w:pPr>
              <w:jc w:val="center"/>
              <w:rPr>
                <w:rFonts w:ascii="Arial" w:hAnsi="Arial" w:cs="Arial"/>
                <w:b/>
                <w:sz w:val="20"/>
                <w:szCs w:val="20"/>
              </w:rPr>
            </w:pPr>
            <w:r>
              <w:rPr>
                <w:rFonts w:ascii="Arial" w:hAnsi="Arial" w:cs="Arial"/>
                <w:b/>
                <w:sz w:val="20"/>
                <w:szCs w:val="20"/>
              </w:rPr>
              <w:t>GUIADA</w:t>
            </w:r>
          </w:p>
        </w:tc>
        <w:tc>
          <w:tcPr>
            <w:tcW w:w="7362" w:type="dxa"/>
            <w:vAlign w:val="center"/>
          </w:tcPr>
          <w:p w14:paraId="099E840D" w14:textId="2AE448A4" w:rsidR="00EB3019" w:rsidRDefault="00AC716A" w:rsidP="00AC716A">
            <w:pPr>
              <w:jc w:val="both"/>
              <w:rPr>
                <w:rFonts w:ascii="Arial" w:hAnsi="Arial" w:cs="Arial"/>
                <w:b/>
                <w:sz w:val="20"/>
                <w:szCs w:val="20"/>
              </w:rPr>
            </w:pPr>
            <w:r>
              <w:rPr>
                <w:rFonts w:ascii="Arial" w:hAnsi="Arial" w:cs="Arial"/>
                <w:b/>
                <w:sz w:val="20"/>
                <w:szCs w:val="20"/>
              </w:rPr>
              <w:t>Miércoles 03 de noviembre</w:t>
            </w:r>
            <w:r w:rsidR="0099058E">
              <w:rPr>
                <w:rFonts w:ascii="Arial" w:hAnsi="Arial" w:cs="Arial"/>
                <w:b/>
                <w:sz w:val="20"/>
                <w:szCs w:val="20"/>
              </w:rPr>
              <w:t xml:space="preserve"> </w:t>
            </w:r>
            <w:r w:rsidR="00C23BA6">
              <w:rPr>
                <w:rFonts w:ascii="Arial" w:hAnsi="Arial" w:cs="Arial"/>
                <w:b/>
                <w:sz w:val="20"/>
                <w:szCs w:val="20"/>
              </w:rPr>
              <w:t>de 2021</w:t>
            </w:r>
            <w:r w:rsidR="0099058E">
              <w:rPr>
                <w:rFonts w:ascii="Arial" w:hAnsi="Arial" w:cs="Arial"/>
                <w:b/>
                <w:sz w:val="20"/>
                <w:szCs w:val="20"/>
              </w:rPr>
              <w:t xml:space="preserve"> a las 1</w:t>
            </w:r>
            <w:r>
              <w:rPr>
                <w:rFonts w:ascii="Arial" w:hAnsi="Arial" w:cs="Arial"/>
                <w:b/>
                <w:sz w:val="20"/>
                <w:szCs w:val="20"/>
              </w:rPr>
              <w:t>2</w:t>
            </w:r>
            <w:r w:rsidR="0099058E">
              <w:rPr>
                <w:rFonts w:ascii="Arial" w:hAnsi="Arial" w:cs="Arial"/>
                <w:b/>
                <w:sz w:val="20"/>
                <w:szCs w:val="20"/>
              </w:rPr>
              <w:t>:</w:t>
            </w:r>
            <w:r>
              <w:rPr>
                <w:rFonts w:ascii="Arial" w:hAnsi="Arial" w:cs="Arial"/>
                <w:b/>
                <w:sz w:val="20"/>
                <w:szCs w:val="20"/>
              </w:rPr>
              <w:t>0</w:t>
            </w:r>
            <w:r w:rsidR="0099058E">
              <w:rPr>
                <w:rFonts w:ascii="Arial" w:hAnsi="Arial" w:cs="Arial"/>
                <w:b/>
                <w:sz w:val="20"/>
                <w:szCs w:val="20"/>
              </w:rPr>
              <w:t>0 horas</w:t>
            </w:r>
            <w:r w:rsidR="0014490E">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635038BD" w:rsidR="00B55DC6" w:rsidRPr="00190C3C" w:rsidRDefault="00B55DC6" w:rsidP="00AC716A">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99058E">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99058E">
              <w:rPr>
                <w:rFonts w:ascii="Arial" w:hAnsi="Arial" w:cs="Arial"/>
                <w:b/>
                <w:sz w:val="20"/>
                <w:szCs w:val="20"/>
              </w:rPr>
              <w:t xml:space="preserve"> </w:t>
            </w:r>
            <w:r w:rsidR="00AC716A">
              <w:rPr>
                <w:rFonts w:ascii="Arial" w:hAnsi="Arial" w:cs="Arial"/>
                <w:b/>
                <w:sz w:val="20"/>
                <w:szCs w:val="20"/>
              </w:rPr>
              <w:t>jueves  04 de noviembre</w:t>
            </w:r>
            <w:r w:rsidR="0099058E">
              <w:rPr>
                <w:rFonts w:ascii="Arial" w:hAnsi="Arial" w:cs="Arial"/>
                <w:b/>
                <w:sz w:val="20"/>
                <w:szCs w:val="20"/>
              </w:rPr>
              <w:t xml:space="preserve"> </w:t>
            </w:r>
            <w:r w:rsidR="00D10D5C" w:rsidRPr="00D10D5C">
              <w:rPr>
                <w:rFonts w:ascii="Arial" w:hAnsi="Arial" w:cs="Arial"/>
                <w:b/>
                <w:sz w:val="20"/>
                <w:szCs w:val="20"/>
              </w:rPr>
              <w:t>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308C5697" w:rsidR="00B55DC6" w:rsidRPr="00190C3C" w:rsidRDefault="00C811BA" w:rsidP="00AC716A">
            <w:pPr>
              <w:jc w:val="both"/>
              <w:rPr>
                <w:rFonts w:ascii="Arial" w:hAnsi="Arial" w:cs="Arial"/>
                <w:sz w:val="20"/>
                <w:szCs w:val="20"/>
              </w:rPr>
            </w:pPr>
            <w:r>
              <w:rPr>
                <w:rFonts w:ascii="Arial" w:hAnsi="Arial" w:cs="Arial"/>
                <w:b/>
                <w:sz w:val="20"/>
                <w:szCs w:val="20"/>
              </w:rPr>
              <w:t>Miércoles 10</w:t>
            </w:r>
            <w:r w:rsidR="00AC716A">
              <w:rPr>
                <w:rFonts w:ascii="Arial" w:hAnsi="Arial" w:cs="Arial"/>
                <w:b/>
                <w:sz w:val="20"/>
                <w:szCs w:val="20"/>
              </w:rPr>
              <w:t xml:space="preserve"> de noviembre</w:t>
            </w:r>
            <w:r w:rsidR="00FD31BA">
              <w:rPr>
                <w:rFonts w:ascii="Arial" w:hAnsi="Arial" w:cs="Arial"/>
                <w:b/>
                <w:sz w:val="20"/>
                <w:szCs w:val="20"/>
              </w:rPr>
              <w:t xml:space="preserv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AC716A">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89329D">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1EB43968" w:rsidR="00B55DC6" w:rsidRPr="00190C3C" w:rsidRDefault="00DB30BE" w:rsidP="00CF79E8">
            <w:pPr>
              <w:jc w:val="both"/>
              <w:rPr>
                <w:rFonts w:ascii="Arial" w:hAnsi="Arial" w:cs="Arial"/>
                <w:sz w:val="20"/>
                <w:szCs w:val="20"/>
              </w:rPr>
            </w:pPr>
            <w:r>
              <w:rPr>
                <w:rFonts w:ascii="Arial" w:hAnsi="Arial" w:cs="Arial"/>
                <w:b/>
                <w:sz w:val="20"/>
                <w:szCs w:val="20"/>
              </w:rPr>
              <w:t>Martes</w:t>
            </w:r>
            <w:r w:rsidR="00C811BA">
              <w:rPr>
                <w:rFonts w:ascii="Arial" w:hAnsi="Arial" w:cs="Arial"/>
                <w:b/>
                <w:sz w:val="20"/>
                <w:szCs w:val="20"/>
              </w:rPr>
              <w:t xml:space="preserve"> 16</w:t>
            </w:r>
            <w:r w:rsidR="00CF79E8">
              <w:rPr>
                <w:rFonts w:ascii="Arial" w:hAnsi="Arial" w:cs="Arial"/>
                <w:b/>
                <w:sz w:val="20"/>
                <w:szCs w:val="20"/>
              </w:rPr>
              <w:t xml:space="preserve"> de</w:t>
            </w:r>
            <w:r w:rsidR="0099058E">
              <w:rPr>
                <w:rFonts w:ascii="Arial" w:hAnsi="Arial" w:cs="Arial"/>
                <w:b/>
                <w:sz w:val="20"/>
                <w:szCs w:val="20"/>
              </w:rPr>
              <w:t xml:space="preserve"> noviembre </w:t>
            </w:r>
            <w:r w:rsidR="003841C8" w:rsidRPr="00834ADF">
              <w:rPr>
                <w:rFonts w:ascii="Arial" w:hAnsi="Arial" w:cs="Arial"/>
                <w:b/>
                <w:sz w:val="20"/>
                <w:szCs w:val="20"/>
              </w:rPr>
              <w:t xml:space="preserve">de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CF79E8">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89329D">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 xml:space="preserve">se tomará como </w:t>
      </w:r>
      <w:r w:rsidR="00D136D6" w:rsidRPr="008F1F0E">
        <w:rPr>
          <w:rFonts w:ascii="Arial" w:hAnsi="Arial" w:cs="Arial"/>
        </w:rPr>
        <w:lastRenderedPageBreak/>
        <w:t>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lastRenderedPageBreak/>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076BC404"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w:t>
      </w:r>
      <w:r w:rsidR="00DC5285">
        <w:rPr>
          <w:rFonts w:ascii="Arial" w:hAnsi="Arial" w:cs="Arial"/>
          <w:shd w:val="clear" w:color="auto" w:fill="FFFFFF" w:themeFill="background1"/>
        </w:rPr>
        <w:t xml:space="preserve"> (I.V.A. incluído),</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27EAC7C" w:rsidR="00DA4A29" w:rsidRPr="00691EDA" w:rsidRDefault="00024C55" w:rsidP="00743274">
      <w:pPr>
        <w:jc w:val="both"/>
        <w:rPr>
          <w:rFonts w:ascii="Arial" w:hAnsi="Arial" w:cs="Arial"/>
        </w:rPr>
      </w:pPr>
      <w:r>
        <w:rPr>
          <w:rFonts w:ascii="Arial" w:hAnsi="Arial" w:cs="Arial"/>
        </w:rPr>
        <w:t xml:space="preserve">En caso de que el </w:t>
      </w:r>
      <w:r w:rsidR="00DA4A29" w:rsidRPr="00691EDA">
        <w:rPr>
          <w:rFonts w:ascii="Arial" w:hAnsi="Arial" w:cs="Arial"/>
        </w:rPr>
        <w:t xml:space="preserve"> servicio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508FB9D1" w:rsidR="00CC7E26" w:rsidRPr="00D40CD1" w:rsidRDefault="00CC7E26" w:rsidP="00D40CD1">
      <w:pPr>
        <w:pStyle w:val="Prrafodelista"/>
        <w:numPr>
          <w:ilvl w:val="1"/>
          <w:numId w:val="37"/>
        </w:numPr>
        <w:jc w:val="both"/>
        <w:rPr>
          <w:rFonts w:ascii="Arial" w:hAnsi="Arial" w:cs="Arial"/>
          <w:b/>
        </w:rPr>
      </w:pPr>
      <w:r w:rsidRPr="00D40CD1">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lastRenderedPageBreak/>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Copia simple de su boleta de inscripción como Proveedor </w:t>
      </w:r>
      <w:proofErr w:type="spellStart"/>
      <w:r w:rsidRPr="008220CB">
        <w:rPr>
          <w:rFonts w:ascii="Arial" w:hAnsi="Arial" w:cs="Arial"/>
        </w:rPr>
        <w:t>ó</w:t>
      </w:r>
      <w:proofErr w:type="spellEnd"/>
      <w:r w:rsidRPr="008220CB">
        <w:rPr>
          <w:rFonts w:ascii="Arial" w:hAnsi="Arial" w:cs="Arial"/>
        </w:rPr>
        <w:t>.</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35217B8F" w:rsidR="00BC697C" w:rsidRDefault="002B1655" w:rsidP="00E76C07">
      <w:pPr>
        <w:pStyle w:val="Prrafodelista"/>
        <w:numPr>
          <w:ilvl w:val="0"/>
          <w:numId w:val="9"/>
        </w:numPr>
        <w:spacing w:before="120"/>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2542E5E0" w14:textId="4260F63A" w:rsidR="00802741" w:rsidRPr="00363944" w:rsidRDefault="00802741" w:rsidP="00802741">
      <w:pPr>
        <w:pStyle w:val="Prrafodelista"/>
        <w:numPr>
          <w:ilvl w:val="0"/>
          <w:numId w:val="9"/>
        </w:numPr>
        <w:spacing w:line="276" w:lineRule="auto"/>
        <w:jc w:val="both"/>
        <w:rPr>
          <w:rFonts w:ascii="Arial" w:hAnsi="Arial" w:cs="Arial"/>
        </w:rPr>
      </w:pPr>
      <w:r w:rsidRPr="00363944">
        <w:rPr>
          <w:rFonts w:ascii="Arial" w:hAnsi="Arial" w:cs="Arial"/>
        </w:rPr>
        <w:t xml:space="preserve">En caso de requerir anticipo, </w:t>
      </w:r>
      <w:r>
        <w:rPr>
          <w:rFonts w:ascii="Arial" w:hAnsi="Arial" w:cs="Arial"/>
        </w:rPr>
        <w:t xml:space="preserve">el licitante adjudicado deberá </w:t>
      </w:r>
      <w:r w:rsidRPr="00363944">
        <w:rPr>
          <w:rFonts w:ascii="Arial" w:hAnsi="Arial" w:cs="Arial"/>
        </w:rPr>
        <w:t>presentar antes, póliza de fianza, descrita en el punto 13.1 de estas bases.</w:t>
      </w:r>
    </w:p>
    <w:p w14:paraId="12797840" w14:textId="092C0DA5" w:rsidR="00802741" w:rsidRPr="005A6889" w:rsidRDefault="00802741" w:rsidP="00802741">
      <w:pPr>
        <w:numPr>
          <w:ilvl w:val="0"/>
          <w:numId w:val="9"/>
        </w:numPr>
        <w:spacing w:line="276" w:lineRule="auto"/>
        <w:jc w:val="both"/>
        <w:rPr>
          <w:rFonts w:ascii="Arial" w:hAnsi="Arial" w:cs="Arial"/>
          <w:b/>
          <w:bCs/>
        </w:rPr>
      </w:pPr>
      <w:r>
        <w:rPr>
          <w:rFonts w:ascii="Arial" w:hAnsi="Arial" w:cs="Arial"/>
        </w:rPr>
        <w:t xml:space="preserve">El proveedor deberá presentar garantía por escrito en hoja membretada de </w:t>
      </w:r>
      <w:r w:rsidRPr="005A6889">
        <w:rPr>
          <w:rFonts w:ascii="Arial" w:hAnsi="Arial" w:cs="Arial"/>
        </w:rPr>
        <w:t>impermeabilidad</w:t>
      </w:r>
      <w:r>
        <w:rPr>
          <w:rFonts w:ascii="Arial" w:hAnsi="Arial" w:cs="Arial"/>
        </w:rPr>
        <w:t xml:space="preserve"> absoluta con una vigencia de 5 </w:t>
      </w:r>
      <w:r w:rsidRPr="005A6889">
        <w:rPr>
          <w:rFonts w:ascii="Arial" w:hAnsi="Arial" w:cs="Arial"/>
        </w:rPr>
        <w:t>años</w:t>
      </w:r>
      <w:r>
        <w:rPr>
          <w:rFonts w:ascii="Arial" w:hAnsi="Arial" w:cs="Arial"/>
        </w:rPr>
        <w:t xml:space="preserve"> en material y mano de obra.</w:t>
      </w:r>
    </w:p>
    <w:p w14:paraId="5906F9BA" w14:textId="77777777" w:rsidR="00802741" w:rsidRPr="00057064" w:rsidRDefault="00802741" w:rsidP="00802741">
      <w:pPr>
        <w:numPr>
          <w:ilvl w:val="0"/>
          <w:numId w:val="9"/>
        </w:numPr>
        <w:spacing w:line="276" w:lineRule="auto"/>
        <w:ind w:left="714" w:hanging="357"/>
        <w:jc w:val="both"/>
        <w:rPr>
          <w:rFonts w:ascii="Arial" w:hAnsi="Arial" w:cs="Arial"/>
        </w:rPr>
      </w:pPr>
      <w:r>
        <w:rPr>
          <w:rFonts w:ascii="Arial" w:hAnsi="Arial" w:cs="Arial"/>
        </w:rPr>
        <w:t>El proveedor adjudicado deberá presentar en un término no mayor a diez días hábiles, posteriores a la fecha de emisión del acta de fallo, fianza de fidelidad y fianza de cumplimiento descritas en el punto 13.2 de estas bases</w:t>
      </w:r>
      <w:r w:rsidRPr="00057064">
        <w:rPr>
          <w:rFonts w:ascii="Arial" w:hAnsi="Arial" w:cs="Arial"/>
        </w:rPr>
        <w:t xml:space="preserve">. </w:t>
      </w:r>
    </w:p>
    <w:p w14:paraId="3F9828CC" w14:textId="33AB3445" w:rsidR="00F70F45" w:rsidRPr="00990FE4" w:rsidRDefault="00F70F45" w:rsidP="004E4C5A">
      <w:pPr>
        <w:pStyle w:val="Prrafodelista"/>
        <w:spacing w:before="120"/>
        <w:ind w:left="714"/>
        <w:contextualSpacing w:val="0"/>
        <w:jc w:val="both"/>
        <w:rPr>
          <w:rFonts w:ascii="Arial" w:hAnsi="Arial" w:cs="Arial"/>
        </w:rPr>
      </w:pPr>
    </w:p>
    <w:p w14:paraId="31EF26D8" w14:textId="77777777"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lastRenderedPageBreak/>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48513572" w14:textId="77777777" w:rsidR="00F70F45" w:rsidRDefault="00F70F45" w:rsidP="00971710">
      <w:pPr>
        <w:jc w:val="both"/>
        <w:rPr>
          <w:rFonts w:ascii="Arial" w:hAnsi="Arial" w:cs="Arial"/>
          <w:b/>
        </w:rPr>
      </w:pPr>
    </w:p>
    <w:p w14:paraId="3B510C39" w14:textId="26633E13"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w:t>
      </w:r>
      <w:r w:rsidRPr="007A1B60">
        <w:rPr>
          <w:rFonts w:ascii="Arial" w:hAnsi="Arial" w:cs="Arial"/>
        </w:rPr>
        <w:lastRenderedPageBreak/>
        <w:t xml:space="preserve">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311F87DB"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7714A8">
        <w:rPr>
          <w:rFonts w:ascii="Arial" w:hAnsi="Arial" w:cs="Arial"/>
        </w:rPr>
        <w:t>1</w:t>
      </w:r>
      <w:r>
        <w:rPr>
          <w:rFonts w:ascii="Arial" w:hAnsi="Arial" w:cs="Arial"/>
        </w:rPr>
        <w:t>,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lastRenderedPageBreak/>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700EEF9A" w14:textId="77777777" w:rsidR="00631703" w:rsidRPr="00631703" w:rsidRDefault="00631703" w:rsidP="00631703">
      <w:pPr>
        <w:pStyle w:val="Prrafodelista"/>
        <w:numPr>
          <w:ilvl w:val="0"/>
          <w:numId w:val="11"/>
        </w:numPr>
        <w:jc w:val="both"/>
        <w:rPr>
          <w:rFonts w:ascii="Arial" w:hAnsi="Arial" w:cs="Arial"/>
        </w:rPr>
      </w:pPr>
      <w:r w:rsidRPr="00631703">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42E0F2E2"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2E5EDCF4" w14:textId="10C8F8B5" w:rsidR="00BE6FA5" w:rsidRDefault="00631703" w:rsidP="00A41572">
      <w:pPr>
        <w:jc w:val="both"/>
        <w:rPr>
          <w:rFonts w:ascii="Arial" w:hAnsi="Arial" w:cs="Arial"/>
        </w:rPr>
      </w:pPr>
      <w:r w:rsidRPr="00631703">
        <w:rPr>
          <w:rFonts w:ascii="Arial" w:hAnsi="Arial" w:cs="Arial"/>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w:t>
      </w:r>
    </w:p>
    <w:p w14:paraId="08F9E491" w14:textId="77777777" w:rsidR="00631703" w:rsidRPr="004A09DC" w:rsidRDefault="00631703"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012CB4B0" w:rsidR="00CE7C0E" w:rsidRDefault="00CE7C0E" w:rsidP="000F763A">
      <w:pPr>
        <w:shd w:val="clear" w:color="auto" w:fill="FFFFFF" w:themeFill="background1"/>
        <w:jc w:val="both"/>
        <w:rPr>
          <w:rFonts w:ascii="Arial" w:hAnsi="Arial" w:cs="Arial"/>
        </w:rPr>
      </w:pPr>
    </w:p>
    <w:p w14:paraId="2B1C867A" w14:textId="77777777" w:rsidR="00E30D6F" w:rsidRPr="000F763A" w:rsidRDefault="00E30D6F"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279BD1C9" w14:textId="5340F38D" w:rsidR="00686EC6" w:rsidRDefault="00E30D6F" w:rsidP="003F4A69">
      <w:pPr>
        <w:jc w:val="both"/>
        <w:rPr>
          <w:rFonts w:ascii="Arial" w:hAnsi="Arial" w:cs="Arial"/>
        </w:rPr>
      </w:pPr>
      <w:r w:rsidRPr="00E30D6F">
        <w:rPr>
          <w:rFonts w:ascii="Arial" w:hAnsi="Arial" w:cs="Arial"/>
        </w:rPr>
        <w:t>Los pagos se efectuarán en dos exhibiciones, (anticipo en caso de solicitarlo) y (finiquito) en moneda nacional, mediante transferencia electrónica de fondos a la cuenta bancaria del Proveedor, por la cantidad estipulada en su propuesta económica, una vez que haya sido entregado del servicio adjudicado, a entera satisfacción de la Convocante.</w:t>
      </w:r>
    </w:p>
    <w:p w14:paraId="534207A5" w14:textId="25E7436A" w:rsidR="00E533FD" w:rsidRDefault="00E533FD" w:rsidP="003F4A69">
      <w:pPr>
        <w:jc w:val="both"/>
        <w:rPr>
          <w:rFonts w:ascii="Arial" w:hAnsi="Arial" w:cs="Arial"/>
        </w:rPr>
      </w:pPr>
    </w:p>
    <w:p w14:paraId="3412002B" w14:textId="77777777" w:rsidR="00341E52" w:rsidRDefault="00341E52" w:rsidP="003F4A69">
      <w:pPr>
        <w:jc w:val="both"/>
        <w:rPr>
          <w:rFonts w:ascii="Arial" w:hAnsi="Arial" w:cs="Arial"/>
        </w:rPr>
      </w:pPr>
    </w:p>
    <w:p w14:paraId="138F2586" w14:textId="01D30177" w:rsidR="00C36C15" w:rsidRDefault="00C36C15" w:rsidP="003F4A69">
      <w:pPr>
        <w:jc w:val="both"/>
        <w:rPr>
          <w:rFonts w:ascii="Arial" w:hAnsi="Arial" w:cs="Arial"/>
          <w:b/>
        </w:rPr>
      </w:pPr>
      <w:r w:rsidRPr="003F4A69">
        <w:rPr>
          <w:rFonts w:ascii="Arial" w:hAnsi="Arial" w:cs="Arial"/>
          <w:b/>
        </w:rPr>
        <w:lastRenderedPageBreak/>
        <w:t>13.1 A</w:t>
      </w:r>
      <w:r w:rsidR="00E46CEE" w:rsidRPr="003F4A69">
        <w:rPr>
          <w:rFonts w:ascii="Arial" w:hAnsi="Arial" w:cs="Arial"/>
          <w:b/>
        </w:rPr>
        <w:t>nticipos</w:t>
      </w:r>
    </w:p>
    <w:p w14:paraId="474F22F1" w14:textId="3E8337D0" w:rsidR="001F42E9" w:rsidRPr="0055220C" w:rsidRDefault="001F42E9" w:rsidP="001F42E9">
      <w:pPr>
        <w:jc w:val="both"/>
        <w:rPr>
          <w:rFonts w:ascii="Arial" w:hAnsi="Arial" w:cs="Arial"/>
        </w:rPr>
      </w:pPr>
      <w:r>
        <w:rPr>
          <w:rFonts w:ascii="Arial" w:hAnsi="Arial" w:cs="Arial"/>
        </w:rPr>
        <w:t xml:space="preserve">En caso de que el proveedor solicite anticipo, se le podrá otorgar hasta un 30% de anticipo, </w:t>
      </w:r>
      <w:r w:rsidR="001619E4">
        <w:rPr>
          <w:rFonts w:ascii="Arial" w:hAnsi="Arial" w:cs="Arial"/>
        </w:rPr>
        <w:t>debiendo</w:t>
      </w:r>
      <w:r>
        <w:rPr>
          <w:rFonts w:ascii="Arial" w:hAnsi="Arial" w:cs="Arial"/>
        </w:rPr>
        <w:t xml:space="preserve">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0EFF4FB0" w14:textId="77777777" w:rsidR="000C470A" w:rsidRPr="003F4A69" w:rsidRDefault="000C470A" w:rsidP="003F4A69">
      <w:pPr>
        <w:jc w:val="both"/>
        <w:rPr>
          <w:rFonts w:ascii="Arial" w:hAnsi="Arial" w:cs="Arial"/>
        </w:rPr>
      </w:pPr>
    </w:p>
    <w:p w14:paraId="2C21FA64" w14:textId="1788AE7C" w:rsidR="00FD7939" w:rsidRPr="00E30D6F" w:rsidRDefault="00FD7939" w:rsidP="00E30D6F">
      <w:pPr>
        <w:pStyle w:val="Prrafodelista"/>
        <w:numPr>
          <w:ilvl w:val="1"/>
          <w:numId w:val="39"/>
        </w:numPr>
        <w:jc w:val="both"/>
        <w:rPr>
          <w:rFonts w:ascii="Arial" w:hAnsi="Arial" w:cs="Arial"/>
          <w:b/>
        </w:rPr>
      </w:pPr>
      <w:r w:rsidRPr="00E30D6F">
        <w:rPr>
          <w:rFonts w:ascii="Arial" w:hAnsi="Arial" w:cs="Arial"/>
          <w:b/>
        </w:rPr>
        <w:t>G</w:t>
      </w:r>
      <w:r w:rsidR="00E46CEE" w:rsidRPr="00E30D6F">
        <w:rPr>
          <w:rFonts w:ascii="Arial" w:hAnsi="Arial" w:cs="Arial"/>
          <w:b/>
        </w:rPr>
        <w:t>arantías</w:t>
      </w:r>
    </w:p>
    <w:p w14:paraId="3DA6AC30" w14:textId="5806A267" w:rsidR="0027186E" w:rsidRPr="003F4A69" w:rsidRDefault="0027186E" w:rsidP="003F4A69">
      <w:pPr>
        <w:jc w:val="both"/>
        <w:rPr>
          <w:rFonts w:ascii="Arial" w:hAnsi="Arial" w:cs="Arial"/>
        </w:rPr>
      </w:pPr>
    </w:p>
    <w:p w14:paraId="2AE21B66" w14:textId="184F5EA1" w:rsidR="003C775F" w:rsidRPr="00E30D6F" w:rsidRDefault="003C775F" w:rsidP="00E30D6F">
      <w:pPr>
        <w:pStyle w:val="Prrafodelista"/>
        <w:numPr>
          <w:ilvl w:val="1"/>
          <w:numId w:val="11"/>
        </w:numPr>
        <w:jc w:val="both"/>
        <w:rPr>
          <w:rFonts w:ascii="Arial" w:hAnsi="Arial" w:cs="Arial"/>
        </w:rPr>
      </w:pPr>
      <w:r w:rsidRPr="00E30D6F">
        <w:rPr>
          <w:rFonts w:ascii="Arial" w:hAnsi="Arial" w:cs="Arial"/>
        </w:rPr>
        <w:t>El proveedor adjudicado deberá presentar Fianza de cumplimiento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3F41F112" w14:textId="77777777" w:rsidR="003C775F" w:rsidRPr="003C775F" w:rsidRDefault="003C775F" w:rsidP="003C775F">
      <w:pPr>
        <w:jc w:val="both"/>
        <w:rPr>
          <w:rFonts w:ascii="Arial" w:hAnsi="Arial" w:cs="Arial"/>
        </w:rPr>
      </w:pPr>
    </w:p>
    <w:p w14:paraId="5FCA1149"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El fiel y exacto cumplimiento de todas y cada una de las obligaciones asumidas en las Bases, sus propuestas y el contrato respectivo.</w:t>
      </w:r>
    </w:p>
    <w:p w14:paraId="6605FDE0"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EE96AD8" w14:textId="5D9BC1F4" w:rsidR="003C775F" w:rsidRDefault="003C775F" w:rsidP="003C775F">
      <w:pPr>
        <w:numPr>
          <w:ilvl w:val="0"/>
          <w:numId w:val="32"/>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3B6C9950" w14:textId="77777777" w:rsidR="003C775F" w:rsidRPr="003C775F" w:rsidRDefault="003C775F" w:rsidP="003C775F">
      <w:pPr>
        <w:ind w:left="720"/>
        <w:contextualSpacing/>
        <w:jc w:val="both"/>
        <w:rPr>
          <w:rFonts w:ascii="Arial" w:hAnsi="Arial" w:cs="Arial"/>
        </w:rPr>
      </w:pPr>
    </w:p>
    <w:p w14:paraId="3FFA3DBD" w14:textId="47C81A9F" w:rsidR="00E533FD" w:rsidRPr="00E30D6F" w:rsidRDefault="003C775F" w:rsidP="00E30D6F">
      <w:pPr>
        <w:pStyle w:val="Prrafodelista"/>
        <w:numPr>
          <w:ilvl w:val="1"/>
          <w:numId w:val="11"/>
        </w:numPr>
        <w:jc w:val="both"/>
        <w:rPr>
          <w:rFonts w:ascii="Arial" w:hAnsi="Arial" w:cs="Arial"/>
        </w:rPr>
      </w:pPr>
      <w:r w:rsidRPr="00E30D6F">
        <w:rPr>
          <w:rFonts w:ascii="Arial" w:hAnsi="Arial" w:cs="Arial"/>
        </w:rPr>
        <w:t xml:space="preserve">El proveedor adjudicado deberá presentar también Fianza de Fidelidad por un monto de cuando menos $50,000.00 m.n. (cincuenta, mil pesos 00/100 m.n.), así mismo, dicha fianza deberá tener una vigencia </w:t>
      </w:r>
      <w:r w:rsidR="004518A2" w:rsidRPr="00E30D6F">
        <w:rPr>
          <w:rFonts w:ascii="Arial" w:hAnsi="Arial" w:cs="Arial"/>
        </w:rPr>
        <w:t xml:space="preserve">de </w:t>
      </w:r>
      <w:r w:rsidR="00BA6E06">
        <w:rPr>
          <w:rFonts w:ascii="Arial" w:hAnsi="Arial" w:cs="Arial"/>
        </w:rPr>
        <w:t>tres</w:t>
      </w:r>
      <w:r w:rsidR="004518A2" w:rsidRPr="00E30D6F">
        <w:rPr>
          <w:rFonts w:ascii="Arial" w:hAnsi="Arial" w:cs="Arial"/>
        </w:rPr>
        <w:t xml:space="preserve"> meses</w:t>
      </w:r>
      <w:r w:rsidRPr="00E30D6F">
        <w:rPr>
          <w:rFonts w:ascii="Arial" w:hAnsi="Arial" w:cs="Arial"/>
        </w:rPr>
        <w:t xml:space="preserve"> o hasta que concluya c</w:t>
      </w:r>
      <w:r w:rsidR="004518A2" w:rsidRPr="00E30D6F">
        <w:rPr>
          <w:rFonts w:ascii="Arial" w:hAnsi="Arial" w:cs="Arial"/>
        </w:rPr>
        <w:t>on la prestación de su servicio, a partir de la fecha de emisión de fallo.</w:t>
      </w:r>
    </w:p>
    <w:p w14:paraId="17588F9E" w14:textId="77777777" w:rsidR="000C470A" w:rsidRPr="00954DEC" w:rsidRDefault="000C470A" w:rsidP="000C470A">
      <w:pPr>
        <w:pStyle w:val="Prrafodelista"/>
        <w:jc w:val="both"/>
        <w:rPr>
          <w:rFonts w:ascii="Arial" w:hAnsi="Arial" w:cs="Arial"/>
        </w:rPr>
      </w:pPr>
    </w:p>
    <w:p w14:paraId="4252E1EA" w14:textId="6E66E35B" w:rsidR="008D678B" w:rsidRPr="00E30D6F" w:rsidRDefault="00326A8A" w:rsidP="00E30D6F">
      <w:pPr>
        <w:pStyle w:val="Prrafodelista"/>
        <w:numPr>
          <w:ilvl w:val="1"/>
          <w:numId w:val="11"/>
        </w:numPr>
        <w:shd w:val="clear" w:color="auto" w:fill="FFFFFF" w:themeFill="background1"/>
        <w:jc w:val="both"/>
        <w:rPr>
          <w:rFonts w:ascii="Arial" w:hAnsi="Arial" w:cs="Arial"/>
        </w:rPr>
      </w:pPr>
      <w:r w:rsidRPr="00E30D6F">
        <w:rPr>
          <w:rFonts w:ascii="Arial" w:hAnsi="Arial" w:cs="Arial"/>
        </w:rPr>
        <w:t xml:space="preserve">El </w:t>
      </w:r>
      <w:r w:rsidR="00075E8E" w:rsidRPr="00E30D6F">
        <w:rPr>
          <w:rFonts w:ascii="Arial" w:hAnsi="Arial" w:cs="Arial"/>
        </w:rPr>
        <w:t>licitante adjudicado</w:t>
      </w:r>
      <w:r w:rsidRPr="00E30D6F">
        <w:rPr>
          <w:rFonts w:ascii="Arial" w:hAnsi="Arial" w:cs="Arial"/>
        </w:rPr>
        <w:t xml:space="preserve"> deberá entregar por escrito en hoja </w:t>
      </w:r>
      <w:r w:rsidR="0002383C" w:rsidRPr="00E30D6F">
        <w:rPr>
          <w:rFonts w:ascii="Arial" w:hAnsi="Arial" w:cs="Arial"/>
        </w:rPr>
        <w:t xml:space="preserve">membretada garantía </w:t>
      </w:r>
      <w:r w:rsidR="00F82BBF" w:rsidRPr="00E30D6F">
        <w:rPr>
          <w:rFonts w:ascii="Arial" w:hAnsi="Arial" w:cs="Arial"/>
        </w:rPr>
        <w:t>de impermeabilidad por 5 años.</w:t>
      </w:r>
    </w:p>
    <w:p w14:paraId="5A36D7BF" w14:textId="77777777" w:rsidR="00F82BBF" w:rsidRPr="00F82BBF" w:rsidRDefault="00F82BBF" w:rsidP="00F82BBF">
      <w:pPr>
        <w:pStyle w:val="Prrafodelista"/>
        <w:shd w:val="clear" w:color="auto" w:fill="FFFFFF" w:themeFill="background1"/>
        <w:ind w:left="1080"/>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CEC6708"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3159E44C" w14:textId="5D3F1C39" w:rsidR="00B170B9" w:rsidRDefault="00F1673B" w:rsidP="00337FC6">
      <w:pPr>
        <w:spacing w:before="40" w:after="40"/>
        <w:jc w:val="both"/>
        <w:rPr>
          <w:rFonts w:ascii="Arial" w:hAnsi="Arial" w:cs="Arial"/>
          <w:lang w:val="es-MX" w:eastAsia="es-MX"/>
        </w:rPr>
      </w:pPr>
      <w:r w:rsidRPr="00F1673B">
        <w:rPr>
          <w:rFonts w:ascii="Arial" w:hAnsi="Arial" w:cs="Arial"/>
          <w:lang w:val="es-MX" w:eastAsia="es-MX"/>
        </w:rPr>
        <w:t xml:space="preserve">La entrega del servicio adjudicado se realizará en un máximo de </w:t>
      </w:r>
      <w:r w:rsidR="00D545A1">
        <w:rPr>
          <w:rFonts w:ascii="Arial" w:hAnsi="Arial" w:cs="Arial"/>
          <w:lang w:val="es-MX" w:eastAsia="es-MX"/>
        </w:rPr>
        <w:t>28</w:t>
      </w:r>
      <w:r w:rsidRPr="00F1673B">
        <w:rPr>
          <w:rFonts w:ascii="Arial" w:hAnsi="Arial" w:cs="Arial"/>
          <w:lang w:val="es-MX" w:eastAsia="es-MX"/>
        </w:rPr>
        <w:t xml:space="preserve"> días hábiles posterior </w:t>
      </w:r>
      <w:r w:rsidR="00D545A1">
        <w:rPr>
          <w:rFonts w:ascii="Arial" w:hAnsi="Arial" w:cs="Arial"/>
          <w:lang w:val="es-MX" w:eastAsia="es-MX"/>
        </w:rPr>
        <w:t>a la publicación del acta de fallo</w:t>
      </w:r>
      <w:r w:rsidRPr="00F1673B">
        <w:rPr>
          <w:rFonts w:ascii="Arial" w:hAnsi="Arial" w:cs="Arial"/>
          <w:lang w:val="es-MX" w:eastAsia="es-MX"/>
        </w:rPr>
        <w:t>, previa entrega de la orden de compra.</w:t>
      </w:r>
    </w:p>
    <w:p w14:paraId="592AAB25" w14:textId="36875E8F" w:rsidR="00F17F5F" w:rsidRDefault="00F17F5F" w:rsidP="00337FC6">
      <w:pPr>
        <w:spacing w:before="40" w:after="40"/>
        <w:jc w:val="both"/>
        <w:rPr>
          <w:rFonts w:ascii="Arial" w:hAnsi="Arial" w:cs="Arial"/>
          <w:lang w:val="es-MX" w:eastAsia="es-MX"/>
        </w:rPr>
      </w:pPr>
    </w:p>
    <w:p w14:paraId="02437164" w14:textId="77777777" w:rsidR="00F17F5F" w:rsidRDefault="00F17F5F"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lastRenderedPageBreak/>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404148E2" w:rsidR="004014A9"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395E423" w14:textId="77777777" w:rsidR="00F17F5F" w:rsidRPr="001F5578" w:rsidRDefault="00F17F5F" w:rsidP="004014A9">
      <w:pPr>
        <w:jc w:val="both"/>
        <w:rPr>
          <w:rFonts w:ascii="Arial" w:hAnsi="Arial" w:cs="Arial"/>
        </w:rPr>
      </w:pP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AFE6DC0"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l bien</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3071DA">
        <w:rPr>
          <w:rFonts w:ascii="Arial" w:hAnsi="Arial" w:cs="Arial"/>
        </w:rPr>
        <w:t>bien</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BA3DCF">
        <w:rPr>
          <w:rFonts w:ascii="Arial" w:hAnsi="Arial" w:cs="Arial"/>
        </w:rPr>
        <w:t>bien</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26C437DB"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315BED3A" w14:textId="77777777" w:rsidR="00F17F5F" w:rsidRDefault="00F17F5F" w:rsidP="00F17F5F">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bookmarkStart w:id="0" w:name="_GoBack"/>
      <w:bookmarkEnd w:id="0"/>
    </w:p>
    <w:p w14:paraId="69F694DF" w14:textId="77562475" w:rsidR="004014A9"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EC190F1" w14:textId="77777777" w:rsidR="00F17F5F" w:rsidRPr="00EE2EF8" w:rsidRDefault="00F17F5F" w:rsidP="00EE2EF8">
      <w:pPr>
        <w:jc w:val="both"/>
        <w:rPr>
          <w:rFonts w:ascii="Arial" w:hAnsi="Arial" w:cs="Arial"/>
          <w:b/>
        </w:rPr>
      </w:pP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BA6E06">
      <w:headerReference w:type="default" r:id="rId12"/>
      <w:footerReference w:type="default" r:id="rId13"/>
      <w:pgSz w:w="12242" w:h="15842" w:code="1"/>
      <w:pgMar w:top="1701" w:right="1418" w:bottom="709"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437D" w14:textId="77777777" w:rsidR="00524F6C" w:rsidRDefault="00524F6C">
      <w:r>
        <w:separator/>
      </w:r>
    </w:p>
  </w:endnote>
  <w:endnote w:type="continuationSeparator" w:id="0">
    <w:p w14:paraId="168A5AAB" w14:textId="77777777" w:rsidR="00524F6C" w:rsidRDefault="0052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3E6005C5"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2B0206">
      <w:rPr>
        <w:rFonts w:ascii="Arial" w:hAnsi="Arial" w:cs="Arial"/>
        <w:sz w:val="16"/>
        <w:szCs w:val="16"/>
      </w:rPr>
      <w:t>LP-SC-016</w:t>
    </w:r>
    <w:r w:rsidR="00807D5E">
      <w:rPr>
        <w:rFonts w:ascii="Arial" w:hAnsi="Arial" w:cs="Arial"/>
        <w:sz w:val="16"/>
        <w:szCs w:val="16"/>
      </w:rPr>
      <w:t>-</w:t>
    </w:r>
    <w:r w:rsidRPr="00556721">
      <w:rPr>
        <w:rFonts w:ascii="Arial" w:hAnsi="Arial" w:cs="Arial"/>
        <w:sz w:val="16"/>
        <w:szCs w:val="16"/>
      </w:rPr>
      <w:t>20</w:t>
    </w:r>
    <w:r w:rsidR="000B01D4">
      <w:rPr>
        <w:rFonts w:ascii="Arial" w:hAnsi="Arial" w:cs="Arial"/>
        <w:sz w:val="16"/>
        <w:szCs w:val="16"/>
      </w:rPr>
      <w:t>21</w:t>
    </w:r>
    <w:r>
      <w:rPr>
        <w:rFonts w:ascii="Arial" w:hAnsi="Arial" w:cs="Arial"/>
        <w:sz w:val="16"/>
        <w:szCs w:val="16"/>
      </w:rPr>
      <w:t xml:space="preserve"> </w:t>
    </w:r>
    <w:r w:rsidR="0023664C" w:rsidRPr="0023664C">
      <w:rPr>
        <w:rFonts w:ascii="Arial" w:hAnsi="Arial" w:cs="Arial"/>
        <w:sz w:val="16"/>
        <w:szCs w:val="16"/>
      </w:rPr>
      <w:t>“</w:t>
    </w:r>
    <w:r w:rsidR="00DE6084">
      <w:rPr>
        <w:rFonts w:ascii="Arial" w:hAnsi="Arial" w:cs="Arial"/>
        <w:sz w:val="16"/>
        <w:szCs w:val="16"/>
      </w:rPr>
      <w:t>DENSIFICACIÓN DE MUROS DEL ARCHIVO HISTÓRICO</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F17F5F">
      <w:rPr>
        <w:rFonts w:ascii="Arial" w:hAnsi="Arial" w:cs="Arial"/>
        <w:noProof/>
        <w:sz w:val="16"/>
        <w:szCs w:val="16"/>
      </w:rPr>
      <w:t>6</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F17F5F">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ABDD" w14:textId="77777777" w:rsidR="00524F6C" w:rsidRDefault="00524F6C">
      <w:r>
        <w:separator/>
      </w:r>
    </w:p>
  </w:footnote>
  <w:footnote w:type="continuationSeparator" w:id="0">
    <w:p w14:paraId="179A5595" w14:textId="77777777" w:rsidR="00524F6C" w:rsidRDefault="0052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F47902"/>
    <w:multiLevelType w:val="hybridMultilevel"/>
    <w:tmpl w:val="14DE0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D86DD3"/>
    <w:multiLevelType w:val="multilevel"/>
    <w:tmpl w:val="E758DD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021F32"/>
    <w:multiLevelType w:val="hybridMultilevel"/>
    <w:tmpl w:val="03067424"/>
    <w:lvl w:ilvl="0" w:tplc="7AF8200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8"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99527A"/>
    <w:multiLevelType w:val="multilevel"/>
    <w:tmpl w:val="BBC2BA2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A65AD6"/>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7"/>
  </w:num>
  <w:num w:numId="2">
    <w:abstractNumId w:val="26"/>
  </w:num>
  <w:num w:numId="3">
    <w:abstractNumId w:val="18"/>
  </w:num>
  <w:num w:numId="4">
    <w:abstractNumId w:val="24"/>
  </w:num>
  <w:num w:numId="5">
    <w:abstractNumId w:val="6"/>
  </w:num>
  <w:num w:numId="6">
    <w:abstractNumId w:val="1"/>
  </w:num>
  <w:num w:numId="7">
    <w:abstractNumId w:val="21"/>
  </w:num>
  <w:num w:numId="8">
    <w:abstractNumId w:val="13"/>
  </w:num>
  <w:num w:numId="9">
    <w:abstractNumId w:val="22"/>
  </w:num>
  <w:num w:numId="10">
    <w:abstractNumId w:val="4"/>
  </w:num>
  <w:num w:numId="11">
    <w:abstractNumId w:val="36"/>
  </w:num>
  <w:num w:numId="12">
    <w:abstractNumId w:val="23"/>
  </w:num>
  <w:num w:numId="13">
    <w:abstractNumId w:val="10"/>
  </w:num>
  <w:num w:numId="14">
    <w:abstractNumId w:val="35"/>
  </w:num>
  <w:num w:numId="15">
    <w:abstractNumId w:val="32"/>
  </w:num>
  <w:num w:numId="16">
    <w:abstractNumId w:val="8"/>
  </w:num>
  <w:num w:numId="17">
    <w:abstractNumId w:val="0"/>
  </w:num>
  <w:num w:numId="18">
    <w:abstractNumId w:val="2"/>
  </w:num>
  <w:num w:numId="19">
    <w:abstractNumId w:val="34"/>
  </w:num>
  <w:num w:numId="20">
    <w:abstractNumId w:val="19"/>
  </w:num>
  <w:num w:numId="21">
    <w:abstractNumId w:val="16"/>
  </w:num>
  <w:num w:numId="22">
    <w:abstractNumId w:val="7"/>
  </w:num>
  <w:num w:numId="23">
    <w:abstractNumId w:val="3"/>
  </w:num>
  <w:num w:numId="24">
    <w:abstractNumId w:val="38"/>
  </w:num>
  <w:num w:numId="25">
    <w:abstractNumId w:val="20"/>
  </w:num>
  <w:num w:numId="26">
    <w:abstractNumId w:val="12"/>
  </w:num>
  <w:num w:numId="27">
    <w:abstractNumId w:val="30"/>
  </w:num>
  <w:num w:numId="28">
    <w:abstractNumId w:val="25"/>
  </w:num>
  <w:num w:numId="29">
    <w:abstractNumId w:val="11"/>
  </w:num>
  <w:num w:numId="30">
    <w:abstractNumId w:val="28"/>
  </w:num>
  <w:num w:numId="31">
    <w:abstractNumId w:val="29"/>
  </w:num>
  <w:num w:numId="32">
    <w:abstractNumId w:val="15"/>
  </w:num>
  <w:num w:numId="33">
    <w:abstractNumId w:val="5"/>
  </w:num>
  <w:num w:numId="34">
    <w:abstractNumId w:val="31"/>
  </w:num>
  <w:num w:numId="35">
    <w:abstractNumId w:val="9"/>
  </w:num>
  <w:num w:numId="36">
    <w:abstractNumId w:val="17"/>
  </w:num>
  <w:num w:numId="37">
    <w:abstractNumId w:val="14"/>
  </w:num>
  <w:num w:numId="38">
    <w:abstractNumId w:val="37"/>
  </w:num>
  <w:num w:numId="39">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E8E"/>
    <w:rsid w:val="00081059"/>
    <w:rsid w:val="0008263C"/>
    <w:rsid w:val="00082EC6"/>
    <w:rsid w:val="00082F2D"/>
    <w:rsid w:val="00083803"/>
    <w:rsid w:val="00083C2B"/>
    <w:rsid w:val="00090192"/>
    <w:rsid w:val="000929CD"/>
    <w:rsid w:val="00096C67"/>
    <w:rsid w:val="00097330"/>
    <w:rsid w:val="000976C7"/>
    <w:rsid w:val="000A19F1"/>
    <w:rsid w:val="000A3F03"/>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176F"/>
    <w:rsid w:val="00101847"/>
    <w:rsid w:val="00106377"/>
    <w:rsid w:val="001063D9"/>
    <w:rsid w:val="0010789C"/>
    <w:rsid w:val="001111DD"/>
    <w:rsid w:val="00112CAC"/>
    <w:rsid w:val="001137B8"/>
    <w:rsid w:val="001143E1"/>
    <w:rsid w:val="0011548C"/>
    <w:rsid w:val="00120C62"/>
    <w:rsid w:val="001239A8"/>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681F"/>
    <w:rsid w:val="001619E4"/>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42E9"/>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24A9"/>
    <w:rsid w:val="00242559"/>
    <w:rsid w:val="00245E38"/>
    <w:rsid w:val="00246057"/>
    <w:rsid w:val="0025010E"/>
    <w:rsid w:val="002519FE"/>
    <w:rsid w:val="002520D5"/>
    <w:rsid w:val="00255E93"/>
    <w:rsid w:val="0025620D"/>
    <w:rsid w:val="00260C1F"/>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206"/>
    <w:rsid w:val="002B0DCD"/>
    <w:rsid w:val="002B11C4"/>
    <w:rsid w:val="002B1655"/>
    <w:rsid w:val="002B2ECF"/>
    <w:rsid w:val="002B3127"/>
    <w:rsid w:val="002B3D73"/>
    <w:rsid w:val="002C6380"/>
    <w:rsid w:val="002C724D"/>
    <w:rsid w:val="002C73CC"/>
    <w:rsid w:val="002D1EBF"/>
    <w:rsid w:val="002E2CE2"/>
    <w:rsid w:val="002E72B3"/>
    <w:rsid w:val="002F15C4"/>
    <w:rsid w:val="002F446F"/>
    <w:rsid w:val="002F4AD1"/>
    <w:rsid w:val="002F4B74"/>
    <w:rsid w:val="002F560E"/>
    <w:rsid w:val="0030223D"/>
    <w:rsid w:val="00302DAE"/>
    <w:rsid w:val="0030352B"/>
    <w:rsid w:val="003071DA"/>
    <w:rsid w:val="0031233E"/>
    <w:rsid w:val="00312DA8"/>
    <w:rsid w:val="003144CE"/>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1E52"/>
    <w:rsid w:val="00342906"/>
    <w:rsid w:val="00344522"/>
    <w:rsid w:val="003460BB"/>
    <w:rsid w:val="0034706C"/>
    <w:rsid w:val="0035172F"/>
    <w:rsid w:val="00356D9A"/>
    <w:rsid w:val="00364248"/>
    <w:rsid w:val="00364DBA"/>
    <w:rsid w:val="003670BD"/>
    <w:rsid w:val="0036776D"/>
    <w:rsid w:val="0037059C"/>
    <w:rsid w:val="003741D4"/>
    <w:rsid w:val="00380002"/>
    <w:rsid w:val="00383E06"/>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50F5D"/>
    <w:rsid w:val="004518A2"/>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B4F7E"/>
    <w:rsid w:val="004B5C28"/>
    <w:rsid w:val="004B5C37"/>
    <w:rsid w:val="004B6182"/>
    <w:rsid w:val="004C077B"/>
    <w:rsid w:val="004C11C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49DB"/>
    <w:rsid w:val="004E4C5A"/>
    <w:rsid w:val="004E5105"/>
    <w:rsid w:val="004E6872"/>
    <w:rsid w:val="004F0232"/>
    <w:rsid w:val="004F29C6"/>
    <w:rsid w:val="004F36A2"/>
    <w:rsid w:val="004F4F51"/>
    <w:rsid w:val="00501648"/>
    <w:rsid w:val="00501DC3"/>
    <w:rsid w:val="0050409D"/>
    <w:rsid w:val="0050542D"/>
    <w:rsid w:val="00510CC9"/>
    <w:rsid w:val="00511227"/>
    <w:rsid w:val="0051556D"/>
    <w:rsid w:val="0051560E"/>
    <w:rsid w:val="005168C0"/>
    <w:rsid w:val="005168EF"/>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4E23"/>
    <w:rsid w:val="00595613"/>
    <w:rsid w:val="00597F6F"/>
    <w:rsid w:val="005A0D0F"/>
    <w:rsid w:val="005A11DD"/>
    <w:rsid w:val="005A341C"/>
    <w:rsid w:val="005A57B0"/>
    <w:rsid w:val="005B1148"/>
    <w:rsid w:val="005B22BE"/>
    <w:rsid w:val="005B473C"/>
    <w:rsid w:val="005B6062"/>
    <w:rsid w:val="005B71ED"/>
    <w:rsid w:val="005C0AC0"/>
    <w:rsid w:val="005C3669"/>
    <w:rsid w:val="005C64DF"/>
    <w:rsid w:val="005C6FF9"/>
    <w:rsid w:val="005C7FB7"/>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31703"/>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14A8"/>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4791"/>
    <w:rsid w:val="007C5B7D"/>
    <w:rsid w:val="007D3BF3"/>
    <w:rsid w:val="007D7C41"/>
    <w:rsid w:val="007E73E2"/>
    <w:rsid w:val="007F2C43"/>
    <w:rsid w:val="007F48FF"/>
    <w:rsid w:val="007F511B"/>
    <w:rsid w:val="00800B75"/>
    <w:rsid w:val="00802741"/>
    <w:rsid w:val="008031DB"/>
    <w:rsid w:val="0080786C"/>
    <w:rsid w:val="00807D5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3A4"/>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115F"/>
    <w:rsid w:val="00933CE9"/>
    <w:rsid w:val="00936261"/>
    <w:rsid w:val="009362A5"/>
    <w:rsid w:val="0094031E"/>
    <w:rsid w:val="00942B88"/>
    <w:rsid w:val="00945537"/>
    <w:rsid w:val="009457F9"/>
    <w:rsid w:val="009513D9"/>
    <w:rsid w:val="00955CE0"/>
    <w:rsid w:val="00960AB5"/>
    <w:rsid w:val="00960D25"/>
    <w:rsid w:val="00961E72"/>
    <w:rsid w:val="00964846"/>
    <w:rsid w:val="00966212"/>
    <w:rsid w:val="00971710"/>
    <w:rsid w:val="00983740"/>
    <w:rsid w:val="00983A21"/>
    <w:rsid w:val="0098602A"/>
    <w:rsid w:val="0099058E"/>
    <w:rsid w:val="00994B29"/>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434C8"/>
    <w:rsid w:val="00A500C5"/>
    <w:rsid w:val="00A5204B"/>
    <w:rsid w:val="00A54572"/>
    <w:rsid w:val="00A619DC"/>
    <w:rsid w:val="00A61D10"/>
    <w:rsid w:val="00A62AA5"/>
    <w:rsid w:val="00A635B8"/>
    <w:rsid w:val="00A7114F"/>
    <w:rsid w:val="00A713ED"/>
    <w:rsid w:val="00A73CC6"/>
    <w:rsid w:val="00A74473"/>
    <w:rsid w:val="00A7575C"/>
    <w:rsid w:val="00A773BF"/>
    <w:rsid w:val="00A80F04"/>
    <w:rsid w:val="00A814AD"/>
    <w:rsid w:val="00A901B5"/>
    <w:rsid w:val="00A90243"/>
    <w:rsid w:val="00A9262A"/>
    <w:rsid w:val="00A9418C"/>
    <w:rsid w:val="00A94899"/>
    <w:rsid w:val="00A97DAB"/>
    <w:rsid w:val="00AA04B3"/>
    <w:rsid w:val="00AA5525"/>
    <w:rsid w:val="00AA6958"/>
    <w:rsid w:val="00AA768F"/>
    <w:rsid w:val="00AB3DE5"/>
    <w:rsid w:val="00AB634D"/>
    <w:rsid w:val="00AB772D"/>
    <w:rsid w:val="00AC5DF5"/>
    <w:rsid w:val="00AC6218"/>
    <w:rsid w:val="00AC716A"/>
    <w:rsid w:val="00AD6F98"/>
    <w:rsid w:val="00AD7855"/>
    <w:rsid w:val="00AE0450"/>
    <w:rsid w:val="00AE32C7"/>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722"/>
    <w:rsid w:val="00B42A7C"/>
    <w:rsid w:val="00B434B3"/>
    <w:rsid w:val="00B5157C"/>
    <w:rsid w:val="00B51D24"/>
    <w:rsid w:val="00B55DC6"/>
    <w:rsid w:val="00B669D7"/>
    <w:rsid w:val="00B752EE"/>
    <w:rsid w:val="00B80187"/>
    <w:rsid w:val="00B834DF"/>
    <w:rsid w:val="00B960F8"/>
    <w:rsid w:val="00BA14D5"/>
    <w:rsid w:val="00BA3DCF"/>
    <w:rsid w:val="00BA471D"/>
    <w:rsid w:val="00BA6E06"/>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34A8"/>
    <w:rsid w:val="00C662C9"/>
    <w:rsid w:val="00C66CC8"/>
    <w:rsid w:val="00C703EA"/>
    <w:rsid w:val="00C72B9D"/>
    <w:rsid w:val="00C77739"/>
    <w:rsid w:val="00C811BA"/>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CF79E8"/>
    <w:rsid w:val="00D00D5B"/>
    <w:rsid w:val="00D01309"/>
    <w:rsid w:val="00D01FC2"/>
    <w:rsid w:val="00D02EF3"/>
    <w:rsid w:val="00D03FE3"/>
    <w:rsid w:val="00D05FED"/>
    <w:rsid w:val="00D06F24"/>
    <w:rsid w:val="00D10D5C"/>
    <w:rsid w:val="00D1261C"/>
    <w:rsid w:val="00D136D6"/>
    <w:rsid w:val="00D23407"/>
    <w:rsid w:val="00D25EFE"/>
    <w:rsid w:val="00D31BC8"/>
    <w:rsid w:val="00D332F8"/>
    <w:rsid w:val="00D3357A"/>
    <w:rsid w:val="00D36C4A"/>
    <w:rsid w:val="00D37142"/>
    <w:rsid w:val="00D40CD1"/>
    <w:rsid w:val="00D415CC"/>
    <w:rsid w:val="00D53AA4"/>
    <w:rsid w:val="00D545A1"/>
    <w:rsid w:val="00D6200F"/>
    <w:rsid w:val="00D64F4E"/>
    <w:rsid w:val="00D650B1"/>
    <w:rsid w:val="00D66025"/>
    <w:rsid w:val="00D66697"/>
    <w:rsid w:val="00D700AD"/>
    <w:rsid w:val="00D70C10"/>
    <w:rsid w:val="00D7255D"/>
    <w:rsid w:val="00D72C01"/>
    <w:rsid w:val="00D74063"/>
    <w:rsid w:val="00D76B85"/>
    <w:rsid w:val="00D82B8F"/>
    <w:rsid w:val="00D91A19"/>
    <w:rsid w:val="00D92102"/>
    <w:rsid w:val="00D92FCD"/>
    <w:rsid w:val="00D94100"/>
    <w:rsid w:val="00D94F68"/>
    <w:rsid w:val="00DA2F00"/>
    <w:rsid w:val="00DA32D7"/>
    <w:rsid w:val="00DA4A29"/>
    <w:rsid w:val="00DB0127"/>
    <w:rsid w:val="00DB2DBB"/>
    <w:rsid w:val="00DB30BE"/>
    <w:rsid w:val="00DB5042"/>
    <w:rsid w:val="00DC3026"/>
    <w:rsid w:val="00DC3085"/>
    <w:rsid w:val="00DC5285"/>
    <w:rsid w:val="00DC52F2"/>
    <w:rsid w:val="00DC6BE8"/>
    <w:rsid w:val="00DC7A96"/>
    <w:rsid w:val="00DD45E3"/>
    <w:rsid w:val="00DD464F"/>
    <w:rsid w:val="00DE21DA"/>
    <w:rsid w:val="00DE2E42"/>
    <w:rsid w:val="00DE43F5"/>
    <w:rsid w:val="00DE6084"/>
    <w:rsid w:val="00DF0E3C"/>
    <w:rsid w:val="00DF6FEE"/>
    <w:rsid w:val="00E00743"/>
    <w:rsid w:val="00E010FF"/>
    <w:rsid w:val="00E01953"/>
    <w:rsid w:val="00E02571"/>
    <w:rsid w:val="00E02F4D"/>
    <w:rsid w:val="00E048EB"/>
    <w:rsid w:val="00E12678"/>
    <w:rsid w:val="00E12997"/>
    <w:rsid w:val="00E12D96"/>
    <w:rsid w:val="00E1303F"/>
    <w:rsid w:val="00E132BE"/>
    <w:rsid w:val="00E14D60"/>
    <w:rsid w:val="00E16865"/>
    <w:rsid w:val="00E22522"/>
    <w:rsid w:val="00E2418A"/>
    <w:rsid w:val="00E24911"/>
    <w:rsid w:val="00E249DE"/>
    <w:rsid w:val="00E30D6F"/>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533FD"/>
    <w:rsid w:val="00E60339"/>
    <w:rsid w:val="00E603F7"/>
    <w:rsid w:val="00E60F48"/>
    <w:rsid w:val="00E62C74"/>
    <w:rsid w:val="00E62C86"/>
    <w:rsid w:val="00E6412F"/>
    <w:rsid w:val="00E6464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55E6"/>
    <w:rsid w:val="00ED6082"/>
    <w:rsid w:val="00ED66C1"/>
    <w:rsid w:val="00EE06E5"/>
    <w:rsid w:val="00EE0D35"/>
    <w:rsid w:val="00EE10BE"/>
    <w:rsid w:val="00EE2EF8"/>
    <w:rsid w:val="00EE5AF6"/>
    <w:rsid w:val="00EF12CE"/>
    <w:rsid w:val="00EF27D9"/>
    <w:rsid w:val="00EF3238"/>
    <w:rsid w:val="00EF35CD"/>
    <w:rsid w:val="00EF5F0B"/>
    <w:rsid w:val="00EF62E4"/>
    <w:rsid w:val="00F036AA"/>
    <w:rsid w:val="00F04915"/>
    <w:rsid w:val="00F06954"/>
    <w:rsid w:val="00F15FF9"/>
    <w:rsid w:val="00F1673B"/>
    <w:rsid w:val="00F17F5F"/>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0F45"/>
    <w:rsid w:val="00F73AD4"/>
    <w:rsid w:val="00F743E3"/>
    <w:rsid w:val="00F75B1D"/>
    <w:rsid w:val="00F7645D"/>
    <w:rsid w:val="00F77B40"/>
    <w:rsid w:val="00F812DE"/>
    <w:rsid w:val="00F82BBF"/>
    <w:rsid w:val="00F82FB9"/>
    <w:rsid w:val="00F84FC4"/>
    <w:rsid w:val="00F85FE5"/>
    <w:rsid w:val="00F86B16"/>
    <w:rsid w:val="00F9439B"/>
    <w:rsid w:val="00F94FCA"/>
    <w:rsid w:val="00FA1EFD"/>
    <w:rsid w:val="00FA4D69"/>
    <w:rsid w:val="00FA4EA4"/>
    <w:rsid w:val="00FA77C9"/>
    <w:rsid w:val="00FA7C99"/>
    <w:rsid w:val="00FB1115"/>
    <w:rsid w:val="00FB1363"/>
    <w:rsid w:val="00FB162D"/>
    <w:rsid w:val="00FB1BE4"/>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2537"/>
    <w:rsid w:val="00FE5EA5"/>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1DFA-C343-4264-A239-E73999E8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13</Pages>
  <Words>4724</Words>
  <Characters>25985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Myriam Abarca Mora</cp:lastModifiedBy>
  <cp:revision>69</cp:revision>
  <cp:lastPrinted>2018-03-22T19:02:00Z</cp:lastPrinted>
  <dcterms:created xsi:type="dcterms:W3CDTF">2021-05-17T21:11:00Z</dcterms:created>
  <dcterms:modified xsi:type="dcterms:W3CDTF">2021-11-01T18:58:00Z</dcterms:modified>
</cp:coreProperties>
</file>