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AD34F0">
        <w:rPr>
          <w:rFonts w:ascii="Arial" w:hAnsi="Arial" w:cs="Arial"/>
          <w:b/>
          <w:sz w:val="24"/>
          <w:szCs w:val="24"/>
        </w:rPr>
        <w:t>9</w:t>
      </w:r>
      <w:r w:rsidR="00BE111A">
        <w:rPr>
          <w:rFonts w:ascii="Arial" w:hAnsi="Arial" w:cs="Arial"/>
          <w:b/>
          <w:sz w:val="24"/>
          <w:szCs w:val="24"/>
        </w:rPr>
        <w:t>-2022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E3D29">
        <w:rPr>
          <w:rFonts w:ascii="Arial" w:hAnsi="Arial" w:cs="Arial"/>
          <w:b/>
          <w:sz w:val="24"/>
          <w:szCs w:val="24"/>
        </w:rPr>
        <w:t>ADQUISICIÓN DE SERVICIO DE FUMI</w:t>
      </w:r>
      <w:r w:rsidR="00AD34F0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BE111A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BE111A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50D8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45</cp:revision>
  <dcterms:created xsi:type="dcterms:W3CDTF">2018-03-22T18:24:00Z</dcterms:created>
  <dcterms:modified xsi:type="dcterms:W3CDTF">2022-07-04T16:37:00Z</dcterms:modified>
</cp:coreProperties>
</file>