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B4363B">
      <w:pPr>
        <w:spacing w:after="0" w:line="240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03BBC14C" w:rsidR="0070756F" w:rsidRDefault="00360FA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70756F">
        <w:rPr>
          <w:rFonts w:ascii="Arial" w:hAnsi="Arial" w:cs="Arial"/>
          <w:b/>
          <w:sz w:val="24"/>
          <w:szCs w:val="24"/>
        </w:rPr>
        <w:t>CNICAS</w:t>
      </w:r>
    </w:p>
    <w:p w14:paraId="35D63870" w14:textId="463705AE" w:rsidR="000D33C3" w:rsidRPr="000D33C3" w:rsidRDefault="007C0E84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LP-SC-003</w:t>
      </w:r>
      <w:r w:rsidR="000360B1">
        <w:rPr>
          <w:rFonts w:ascii="Arial" w:eastAsia="Times New Roman" w:hAnsi="Arial" w:cs="Arial"/>
          <w:b/>
          <w:sz w:val="24"/>
          <w:szCs w:val="24"/>
        </w:rPr>
        <w:t>-2023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25ACD785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7C0E84">
        <w:rPr>
          <w:rFonts w:ascii="Arial" w:hAnsi="Arial" w:cs="Arial"/>
          <w:b/>
          <w:sz w:val="24"/>
          <w:lang w:val="es-ES"/>
        </w:rPr>
        <w:t>SEGURO PARA EL PARQUE VEHICULAR DE LA ASEJ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37B5DA" w14:textId="28A35EC6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0360B1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3CBFAE02" w14:textId="03C22972" w:rsidR="00680889" w:rsidRDefault="007C0E84" w:rsidP="006D5D2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Adquisición de póliza de seguro de cobertura amplia </w:t>
      </w:r>
      <w:r w:rsidR="002630B6" w:rsidRPr="006D5D2B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con </w:t>
      </w:r>
      <w:r w:rsidR="002630B6">
        <w:rPr>
          <w:rFonts w:ascii="Arial" w:hAnsi="Arial" w:cs="Arial"/>
          <w:sz w:val="24"/>
          <w:szCs w:val="24"/>
        </w:rPr>
        <w:t>deducible Auto administrado</w:t>
      </w:r>
      <w:r w:rsidR="002630B6" w:rsidRPr="006D5D2B">
        <w:rPr>
          <w:rFonts w:ascii="Arial" w:hAnsi="Arial" w:cs="Arial"/>
          <w:sz w:val="24"/>
          <w:szCs w:val="24"/>
        </w:rPr>
        <w:t xml:space="preserve"> </w:t>
      </w:r>
      <w:r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para la flotilla de 64 vehículos que integran el parque vehicular de la </w:t>
      </w:r>
      <w:r>
        <w:rPr>
          <w:rFonts w:ascii="Arial" w:hAnsi="Arial" w:cs="Arial"/>
          <w:bCs/>
          <w:color w:val="000000"/>
          <w:sz w:val="24"/>
          <w:szCs w:val="24"/>
          <w:lang w:eastAsia="es-MX"/>
        </w:rPr>
        <w:t>Auditoría Superior del Estado de Jalisco</w:t>
      </w:r>
      <w:r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>, por un periodo de doce meses, iniciados a partir de las 12:00</w:t>
      </w:r>
      <w:r w:rsidR="006D5D2B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 </w:t>
      </w:r>
      <w:r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>horas</w:t>
      </w:r>
      <w:r w:rsidR="006D5D2B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 locales</w:t>
      </w:r>
      <w:r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 del 31 de enero de 2023 y hasta las 12:00 </w:t>
      </w:r>
      <w:r w:rsidR="006D5D2B" w:rsidRPr="007C0E84">
        <w:rPr>
          <w:rFonts w:ascii="Arial" w:hAnsi="Arial" w:cs="Arial"/>
          <w:bCs/>
          <w:color w:val="000000"/>
          <w:sz w:val="24"/>
          <w:szCs w:val="24"/>
          <w:lang w:eastAsia="es-MX"/>
        </w:rPr>
        <w:t>horas</w:t>
      </w:r>
      <w:r w:rsidR="006D5D2B">
        <w:rPr>
          <w:rFonts w:ascii="Arial" w:hAnsi="Arial" w:cs="Arial"/>
          <w:bCs/>
          <w:color w:val="000000"/>
          <w:sz w:val="24"/>
          <w:szCs w:val="24"/>
          <w:lang w:eastAsia="es-MX"/>
        </w:rPr>
        <w:t xml:space="preserve"> locales del 31 de enero de 2024 </w:t>
      </w:r>
      <w:r w:rsidR="006D5D2B" w:rsidRPr="006D5D2B">
        <w:rPr>
          <w:rFonts w:ascii="Arial" w:hAnsi="Arial" w:cs="Arial"/>
          <w:sz w:val="24"/>
          <w:szCs w:val="24"/>
        </w:rPr>
        <w:t>(los deducibles se pagarán únicamente a la aseguradora).</w:t>
      </w:r>
    </w:p>
    <w:p w14:paraId="273C7D45" w14:textId="77777777" w:rsidR="006D5D2B" w:rsidRPr="006D5D2B" w:rsidRDefault="006D5D2B" w:rsidP="006D5D2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CEC955" w14:textId="77777777" w:rsidR="006D5D2B" w:rsidRPr="006D5D2B" w:rsidRDefault="006D5D2B" w:rsidP="006D5D2B">
      <w:pPr>
        <w:spacing w:after="0" w:line="240" w:lineRule="auto"/>
        <w:rPr>
          <w:rFonts w:ascii="Arial" w:hAnsi="Arial" w:cs="Arial"/>
          <w:sz w:val="24"/>
          <w:lang w:val="es-MX" w:eastAsia="es-MX"/>
        </w:rPr>
      </w:pPr>
      <w:r w:rsidRPr="006D5D2B">
        <w:rPr>
          <w:rFonts w:ascii="Arial" w:hAnsi="Arial" w:cs="Arial"/>
          <w:sz w:val="24"/>
          <w:lang w:val="es-MX" w:eastAsia="es-MX"/>
        </w:rPr>
        <w:t>Se publicarán los siguientes documentos informativos:</w:t>
      </w:r>
    </w:p>
    <w:p w14:paraId="130EA623" w14:textId="77777777" w:rsidR="006D5D2B" w:rsidRPr="006D5D2B" w:rsidRDefault="006D5D2B" w:rsidP="006D5D2B">
      <w:pPr>
        <w:spacing w:after="0" w:line="240" w:lineRule="auto"/>
        <w:rPr>
          <w:rFonts w:ascii="Arial" w:hAnsi="Arial" w:cs="Arial"/>
          <w:color w:val="5C6B7E"/>
          <w:sz w:val="24"/>
          <w:lang w:val="es-MX" w:eastAsia="es-MX"/>
        </w:rPr>
      </w:pPr>
    </w:p>
    <w:p w14:paraId="3408418A" w14:textId="1C97D3E0" w:rsidR="006D5D2B" w:rsidRDefault="002630B6" w:rsidP="006D5D2B">
      <w:pPr>
        <w:numPr>
          <w:ilvl w:val="0"/>
          <w:numId w:val="33"/>
        </w:numPr>
        <w:spacing w:before="100" w:after="0" w:line="240" w:lineRule="auto"/>
        <w:contextualSpacing/>
        <w:rPr>
          <w:rFonts w:ascii="Arial" w:eastAsia="Times New Roman" w:hAnsi="Arial" w:cs="Arial"/>
          <w:sz w:val="24"/>
          <w:lang w:val="es-MX" w:eastAsia="es-MX"/>
        </w:rPr>
      </w:pPr>
      <w:r>
        <w:rPr>
          <w:rFonts w:ascii="Arial" w:eastAsia="Times New Roman" w:hAnsi="Arial" w:cs="Arial"/>
          <w:sz w:val="24"/>
          <w:lang w:val="es-MX" w:eastAsia="es-MX"/>
        </w:rPr>
        <w:t>P</w:t>
      </w:r>
      <w:r w:rsidR="006D5D2B" w:rsidRPr="006D5D2B">
        <w:rPr>
          <w:rFonts w:ascii="Arial" w:eastAsia="Times New Roman" w:hAnsi="Arial" w:cs="Arial"/>
          <w:sz w:val="24"/>
          <w:lang w:val="es-MX" w:eastAsia="es-MX"/>
        </w:rPr>
        <w:t>adrón vehicular.</w:t>
      </w:r>
    </w:p>
    <w:p w14:paraId="07A7E7CF" w14:textId="77777777" w:rsidR="002630B6" w:rsidRPr="006D5D2B" w:rsidRDefault="002630B6" w:rsidP="002630B6">
      <w:pPr>
        <w:spacing w:before="100" w:after="0" w:line="240" w:lineRule="auto"/>
        <w:ind w:left="720"/>
        <w:contextualSpacing/>
        <w:rPr>
          <w:rFonts w:ascii="Arial" w:eastAsia="Times New Roman" w:hAnsi="Arial" w:cs="Arial"/>
          <w:sz w:val="24"/>
          <w:lang w:val="es-MX" w:eastAsia="es-MX"/>
        </w:rPr>
      </w:pPr>
    </w:p>
    <w:p w14:paraId="3BC72725" w14:textId="427FCE3E" w:rsidR="006D5D2B" w:rsidRPr="006D5D2B" w:rsidRDefault="002630B6" w:rsidP="006D5D2B">
      <w:pPr>
        <w:numPr>
          <w:ilvl w:val="0"/>
          <w:numId w:val="33"/>
        </w:numPr>
        <w:spacing w:before="100" w:after="0" w:line="240" w:lineRule="auto"/>
        <w:contextualSpacing/>
        <w:rPr>
          <w:rFonts w:ascii="Arial" w:eastAsia="Times New Roman" w:hAnsi="Arial" w:cs="Arial"/>
          <w:sz w:val="24"/>
          <w:lang w:val="es-MX" w:eastAsia="es-MX"/>
        </w:rPr>
      </w:pPr>
      <w:r>
        <w:rPr>
          <w:rFonts w:ascii="Arial" w:eastAsia="Times New Roman" w:hAnsi="Arial" w:cs="Arial"/>
          <w:sz w:val="24"/>
          <w:lang w:val="es-MX" w:eastAsia="es-MX"/>
        </w:rPr>
        <w:t>S</w:t>
      </w:r>
      <w:r w:rsidR="006D5D2B">
        <w:rPr>
          <w:rFonts w:ascii="Arial" w:eastAsia="Times New Roman" w:hAnsi="Arial" w:cs="Arial"/>
          <w:sz w:val="24"/>
          <w:lang w:val="es-MX" w:eastAsia="es-MX"/>
        </w:rPr>
        <w:t xml:space="preserve">iniestralidad de </w:t>
      </w:r>
      <w:r w:rsidR="00CA60D6">
        <w:rPr>
          <w:rFonts w:ascii="Arial" w:eastAsia="Times New Roman" w:hAnsi="Arial" w:cs="Arial"/>
          <w:sz w:val="24"/>
          <w:lang w:val="es-MX" w:eastAsia="es-MX"/>
        </w:rPr>
        <w:t xml:space="preserve">los últimos </w:t>
      </w:r>
      <w:r w:rsidR="006D5D2B">
        <w:rPr>
          <w:rFonts w:ascii="Arial" w:eastAsia="Times New Roman" w:hAnsi="Arial" w:cs="Arial"/>
          <w:sz w:val="24"/>
          <w:lang w:val="es-MX" w:eastAsia="es-MX"/>
        </w:rPr>
        <w:t>cuatro</w:t>
      </w:r>
      <w:r w:rsidR="006D5D2B" w:rsidRPr="006D5D2B">
        <w:rPr>
          <w:rFonts w:ascii="Arial" w:eastAsia="Times New Roman" w:hAnsi="Arial" w:cs="Arial"/>
          <w:sz w:val="24"/>
          <w:lang w:val="es-MX" w:eastAsia="es-MX"/>
        </w:rPr>
        <w:t xml:space="preserve"> años.</w:t>
      </w:r>
    </w:p>
    <w:p w14:paraId="59B96118" w14:textId="77777777" w:rsidR="006D5D2B" w:rsidRPr="007C0E84" w:rsidRDefault="006D5D2B" w:rsidP="007C0E84">
      <w:pPr>
        <w:jc w:val="both"/>
        <w:rPr>
          <w:rFonts w:ascii="Arial" w:hAnsi="Arial" w:cs="Arial"/>
          <w:bCs/>
          <w:color w:val="000000"/>
          <w:sz w:val="24"/>
          <w:szCs w:val="24"/>
          <w:lang w:val="es-MX" w:eastAsia="es-MX"/>
        </w:rPr>
      </w:pPr>
    </w:p>
    <w:p w14:paraId="6949A671" w14:textId="7506685D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="006D5D2B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NECESIDADES</w:t>
      </w: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="00494A9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DEL SERVICIO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5F5B24DA" w14:textId="346D7948" w:rsidR="00494A98" w:rsidRDefault="00494A98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52FC3A96" w14:textId="247D2E59" w:rsidR="006D5D2B" w:rsidRDefault="006D5D2B" w:rsidP="00D00DC4">
      <w:pPr>
        <w:pStyle w:val="Prrafodelista"/>
        <w:numPr>
          <w:ilvl w:val="0"/>
          <w:numId w:val="42"/>
        </w:num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2630B6">
        <w:rPr>
          <w:rFonts w:ascii="Arial" w:eastAsia="Times New Roman" w:hAnsi="Arial" w:cs="Arial"/>
          <w:b/>
          <w:color w:val="000000" w:themeColor="text1"/>
          <w:sz w:val="24"/>
          <w:lang w:val="es-MX" w:eastAsia="es-MX"/>
        </w:rPr>
        <w:t xml:space="preserve">Bienes cubiertos: </w:t>
      </w:r>
      <w:r w:rsidRPr="002630B6">
        <w:rPr>
          <w:rFonts w:ascii="Arial" w:hAnsi="Arial" w:cs="Arial"/>
          <w:sz w:val="24"/>
        </w:rPr>
        <w:t xml:space="preserve">Automóviles, camionetas y camión, de acuerdo a la relación detallada de las unidades a asegurar (se anexa </w:t>
      </w:r>
      <w:r w:rsidR="00CA60D6">
        <w:rPr>
          <w:rFonts w:ascii="Arial" w:hAnsi="Arial" w:cs="Arial"/>
          <w:sz w:val="24"/>
        </w:rPr>
        <w:t>padrón vehicular</w:t>
      </w:r>
      <w:r w:rsidRPr="002630B6">
        <w:rPr>
          <w:rFonts w:ascii="Arial" w:hAnsi="Arial" w:cs="Arial"/>
          <w:sz w:val="24"/>
        </w:rPr>
        <w:t>), y en general todos los vehículos propiedad o al servicio de la Auditoría Superior del Estado de Jalisco, que sean adquiridos y/o se den de alta durante la vigencia de la póliza.</w:t>
      </w:r>
    </w:p>
    <w:p w14:paraId="3C51C064" w14:textId="30E8944A" w:rsidR="00D00DC4" w:rsidRPr="00902734" w:rsidRDefault="00D00DC4" w:rsidP="00AC346E">
      <w:pPr>
        <w:pStyle w:val="Prrafodelista"/>
        <w:numPr>
          <w:ilvl w:val="0"/>
          <w:numId w:val="4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02734">
        <w:rPr>
          <w:rFonts w:ascii="Arial" w:hAnsi="Arial" w:cs="Arial"/>
          <w:b/>
          <w:sz w:val="24"/>
          <w:szCs w:val="24"/>
        </w:rPr>
        <w:t>Beneficiario preferente</w:t>
      </w:r>
      <w:r w:rsidRPr="00902734">
        <w:rPr>
          <w:rFonts w:ascii="Arial" w:hAnsi="Arial" w:cs="Arial"/>
          <w:sz w:val="24"/>
          <w:szCs w:val="24"/>
        </w:rPr>
        <w:t xml:space="preserve">: En caso de siniestro </w:t>
      </w:r>
      <w:r w:rsidRPr="00902734">
        <w:rPr>
          <w:rFonts w:ascii="Arial" w:hAnsi="Arial" w:cs="Arial"/>
          <w:sz w:val="24"/>
          <w:szCs w:val="24"/>
        </w:rPr>
        <w:t xml:space="preserve">en la unidad de </w:t>
      </w:r>
      <w:r w:rsidRPr="00902734">
        <w:rPr>
          <w:rFonts w:ascii="Arial" w:hAnsi="Arial" w:cs="Arial"/>
          <w:sz w:val="24"/>
          <w:szCs w:val="24"/>
        </w:rPr>
        <w:t>3 ½ toneladas</w:t>
      </w:r>
      <w:r w:rsidR="00902734" w:rsidRPr="00902734">
        <w:rPr>
          <w:rFonts w:ascii="Arial" w:hAnsi="Arial" w:cs="Arial"/>
          <w:sz w:val="24"/>
          <w:szCs w:val="24"/>
        </w:rPr>
        <w:t>,</w:t>
      </w:r>
      <w:r w:rsidRPr="00902734">
        <w:rPr>
          <w:rFonts w:ascii="Arial" w:hAnsi="Arial" w:cs="Arial"/>
          <w:sz w:val="24"/>
          <w:szCs w:val="24"/>
        </w:rPr>
        <w:t xml:space="preserve"> que amerite indemnización bajo el amparo de los bienes cubiertos por la p</w:t>
      </w:r>
      <w:bookmarkStart w:id="0" w:name="_GoBack"/>
      <w:bookmarkEnd w:id="0"/>
      <w:r w:rsidRPr="00902734">
        <w:rPr>
          <w:rFonts w:ascii="Arial" w:hAnsi="Arial" w:cs="Arial"/>
          <w:sz w:val="24"/>
          <w:szCs w:val="24"/>
        </w:rPr>
        <w:t xml:space="preserve">óliza a la cual se agrega la presente clausula y una vez ajustada la cantidad a indemnizar, las </w:t>
      </w:r>
      <w:r w:rsidR="005C0567" w:rsidRPr="00902734">
        <w:rPr>
          <w:rFonts w:ascii="Arial" w:hAnsi="Arial" w:cs="Arial"/>
          <w:sz w:val="24"/>
          <w:szCs w:val="24"/>
        </w:rPr>
        <w:t>perdidas y</w:t>
      </w:r>
      <w:r w:rsidRPr="00902734">
        <w:rPr>
          <w:rFonts w:ascii="Arial" w:hAnsi="Arial" w:cs="Arial"/>
          <w:sz w:val="24"/>
          <w:szCs w:val="24"/>
        </w:rPr>
        <w:t>/o daños serán</w:t>
      </w:r>
      <w:r w:rsidRPr="00902734">
        <w:rPr>
          <w:rFonts w:ascii="Arial" w:hAnsi="Arial" w:cs="Arial"/>
          <w:sz w:val="24"/>
          <w:szCs w:val="24"/>
        </w:rPr>
        <w:t xml:space="preserve"> pagaderos de manera preferente a la Secretaría de Hacienda Pública hasta por el interés asegurable que le corresponda.  </w:t>
      </w:r>
    </w:p>
    <w:p w14:paraId="58E10C75" w14:textId="174C3BE9" w:rsidR="006D5D2B" w:rsidRDefault="006D5D2B" w:rsidP="00D00DC4">
      <w:pPr>
        <w:pStyle w:val="Prrafodelista"/>
        <w:numPr>
          <w:ilvl w:val="0"/>
          <w:numId w:val="42"/>
        </w:numPr>
        <w:spacing w:before="240" w:after="0" w:line="240" w:lineRule="auto"/>
        <w:jc w:val="both"/>
        <w:rPr>
          <w:rFonts w:ascii="Arial" w:hAnsi="Arial" w:cs="Arial"/>
          <w:sz w:val="24"/>
        </w:rPr>
      </w:pPr>
      <w:r w:rsidRPr="002630B6">
        <w:rPr>
          <w:rFonts w:ascii="Arial" w:eastAsia="Times New Roman" w:hAnsi="Arial" w:cs="Arial"/>
          <w:b/>
          <w:color w:val="000000" w:themeColor="text1"/>
          <w:sz w:val="24"/>
          <w:lang w:val="es-MX" w:eastAsia="es-MX"/>
        </w:rPr>
        <w:t xml:space="preserve">Cobertura automática: </w:t>
      </w:r>
      <w:r w:rsidRPr="002630B6">
        <w:rPr>
          <w:rFonts w:ascii="Arial" w:hAnsi="Arial" w:cs="Arial"/>
          <w:sz w:val="24"/>
        </w:rPr>
        <w:t>Quedan cubiertas todas aquellas unidades que fueron adquiridas o adjudicadas en un periodo de 45 días naturales a partir de su adquisición o adjudicación, tiempo necesario para notificarse a la compañía por parte del asegurado.</w:t>
      </w:r>
    </w:p>
    <w:p w14:paraId="4CA7C60F" w14:textId="4332FBE1" w:rsidR="006D5D2B" w:rsidRPr="002630B6" w:rsidRDefault="006D5D2B" w:rsidP="00D00DC4">
      <w:pPr>
        <w:pStyle w:val="Prrafodelista"/>
        <w:widowControl w:val="0"/>
        <w:numPr>
          <w:ilvl w:val="0"/>
          <w:numId w:val="42"/>
        </w:numPr>
        <w:tabs>
          <w:tab w:val="left" w:pos="820"/>
        </w:tabs>
        <w:autoSpaceDE w:val="0"/>
        <w:autoSpaceDN w:val="0"/>
        <w:adjustRightInd w:val="0"/>
        <w:spacing w:before="240" w:after="0" w:line="260" w:lineRule="exact"/>
        <w:ind w:right="57"/>
        <w:jc w:val="both"/>
        <w:rPr>
          <w:rFonts w:ascii="Arial" w:hAnsi="Arial" w:cs="Arial"/>
          <w:sz w:val="24"/>
        </w:rPr>
      </w:pPr>
      <w:r w:rsidRPr="002630B6">
        <w:rPr>
          <w:rFonts w:ascii="Arial" w:hAnsi="Arial" w:cs="Arial"/>
          <w:b/>
          <w:sz w:val="24"/>
        </w:rPr>
        <w:t xml:space="preserve">Reparación de vehículos: </w:t>
      </w:r>
      <w:r w:rsidRPr="002630B6">
        <w:rPr>
          <w:rFonts w:ascii="Arial" w:hAnsi="Arial" w:cs="Arial"/>
          <w:sz w:val="24"/>
        </w:rPr>
        <w:t xml:space="preserve">La reparación de vehículos modelos, 2020, 2017, 2016, 2015, 2013, </w:t>
      </w:r>
      <w:r w:rsidR="00CA60D6">
        <w:rPr>
          <w:rFonts w:ascii="Arial" w:hAnsi="Arial" w:cs="Arial"/>
          <w:sz w:val="24"/>
        </w:rPr>
        <w:t>2012, 2011 y 2006, se realizará</w:t>
      </w:r>
      <w:r w:rsidRPr="002630B6">
        <w:rPr>
          <w:rFonts w:ascii="Arial" w:hAnsi="Arial" w:cs="Arial"/>
          <w:sz w:val="24"/>
        </w:rPr>
        <w:t xml:space="preserve"> en los talleres de las agencias distribuidoras de vehículos nuevos de la marca correspondiente que estén en convenio con la compañía aseguradora adjudicada.</w:t>
      </w:r>
    </w:p>
    <w:p w14:paraId="66D291CD" w14:textId="77777777" w:rsidR="006D5D2B" w:rsidRDefault="006D5D2B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18F6048" w14:textId="6AB235F2" w:rsidR="006D5D2B" w:rsidRDefault="006D5D2B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51CC7861" w14:textId="2C32F78F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3A4FE604" w14:textId="263802B8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DCD0976" w14:textId="4DF0CBAF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29C2CDEB" w14:textId="316285F1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2BB932AA" w14:textId="7AD95B80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7F984318" w14:textId="0F52EAD4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7B078B46" w14:textId="6B76E879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BC16776" w14:textId="55AAFD4C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1BC427E0" w14:textId="4F3A78FE" w:rsidR="002630B6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11408018" w14:textId="77777777" w:rsidR="002630B6" w:rsidRPr="00494A98" w:rsidRDefault="002630B6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FFF518D" w14:textId="674A51FC" w:rsidR="00494A98" w:rsidRDefault="00494A98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  <w:r w:rsidRPr="00494A98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 xml:space="preserve">3.- </w:t>
      </w:r>
      <w:r w:rsidR="006D5D2B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ESPECIFICACIONES TÉCNICAS:</w:t>
      </w:r>
    </w:p>
    <w:p w14:paraId="293821FD" w14:textId="697CC0E6" w:rsidR="006D5D2B" w:rsidRDefault="006D5D2B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</w:p>
    <w:p w14:paraId="72011729" w14:textId="710F357C" w:rsidR="006D5D2B" w:rsidRDefault="006D5D2B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  <w:r w:rsidRPr="002D3792">
        <w:rPr>
          <w:noProof/>
          <w:lang w:val="es-MX" w:eastAsia="es-MX"/>
        </w:rPr>
        <w:drawing>
          <wp:inline distT="0" distB="0" distL="0" distR="0" wp14:anchorId="64FA5675" wp14:editId="5DDBCFE4">
            <wp:extent cx="5408930" cy="5260471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526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3B919" w14:textId="00A1C0B5" w:rsidR="006D5D2B" w:rsidRDefault="006D5D2B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</w:p>
    <w:p w14:paraId="0DEF3578" w14:textId="1B9325B3" w:rsidR="006D5D2B" w:rsidRDefault="006D5D2B" w:rsidP="002630B6">
      <w:pPr>
        <w:pStyle w:val="Prrafodelista"/>
        <w:numPr>
          <w:ilvl w:val="0"/>
          <w:numId w:val="43"/>
        </w:numPr>
        <w:spacing w:before="1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 xml:space="preserve">Cuando el vehículo no aparezca en las guías EBC y/o </w:t>
      </w:r>
      <w:proofErr w:type="spellStart"/>
      <w:r w:rsidRPr="006D5D2B">
        <w:rPr>
          <w:rFonts w:ascii="Arial" w:hAnsi="Arial" w:cs="Arial"/>
          <w:sz w:val="24"/>
        </w:rPr>
        <w:t>autométrica</w:t>
      </w:r>
      <w:proofErr w:type="spellEnd"/>
      <w:r w:rsidRPr="006D5D2B">
        <w:rPr>
          <w:rFonts w:ascii="Arial" w:hAnsi="Arial" w:cs="Arial"/>
          <w:sz w:val="24"/>
        </w:rPr>
        <w:t xml:space="preserve"> se tomará como valor comercial el propuesto por la compañía ase</w:t>
      </w:r>
      <w:r w:rsidR="00CA60D6">
        <w:rPr>
          <w:rFonts w:ascii="Arial" w:hAnsi="Arial" w:cs="Arial"/>
          <w:sz w:val="24"/>
        </w:rPr>
        <w:t>guradora previo acuerdo con la C</w:t>
      </w:r>
      <w:r w:rsidRPr="006D5D2B">
        <w:rPr>
          <w:rFonts w:ascii="Arial" w:hAnsi="Arial" w:cs="Arial"/>
          <w:sz w:val="24"/>
        </w:rPr>
        <w:t xml:space="preserve">onvocante. </w:t>
      </w:r>
    </w:p>
    <w:p w14:paraId="04BFF399" w14:textId="77777777" w:rsidR="002630B6" w:rsidRPr="006D5D2B" w:rsidRDefault="002630B6" w:rsidP="002630B6">
      <w:pPr>
        <w:pStyle w:val="Prrafodelista"/>
        <w:spacing w:before="100" w:line="276" w:lineRule="auto"/>
        <w:ind w:left="720"/>
        <w:contextualSpacing/>
        <w:jc w:val="both"/>
        <w:rPr>
          <w:rFonts w:ascii="Arial" w:hAnsi="Arial" w:cs="Arial"/>
          <w:sz w:val="24"/>
        </w:rPr>
      </w:pPr>
    </w:p>
    <w:p w14:paraId="63B87AF7" w14:textId="2E979144" w:rsidR="002630B6" w:rsidRPr="002630B6" w:rsidRDefault="006D5D2B" w:rsidP="002630B6">
      <w:pPr>
        <w:pStyle w:val="Prrafodelista"/>
        <w:numPr>
          <w:ilvl w:val="0"/>
          <w:numId w:val="43"/>
        </w:numPr>
        <w:spacing w:before="1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b/>
          <w:sz w:val="24"/>
        </w:rPr>
        <w:t>Territorialidad</w:t>
      </w:r>
      <w:r w:rsidRPr="006D5D2B">
        <w:rPr>
          <w:rFonts w:ascii="Arial" w:hAnsi="Arial" w:cs="Arial"/>
          <w:sz w:val="24"/>
        </w:rPr>
        <w:t xml:space="preserve">: La aplicación de las coberturas amparadas se extiende a todas las entidades federativas y municipios que conforman el territorio nacional. </w:t>
      </w:r>
    </w:p>
    <w:p w14:paraId="4B3FA562" w14:textId="77777777" w:rsidR="002630B6" w:rsidRPr="002630B6" w:rsidRDefault="002630B6" w:rsidP="002630B6">
      <w:pPr>
        <w:pStyle w:val="Prrafodelista"/>
        <w:spacing w:before="100" w:line="276" w:lineRule="auto"/>
        <w:ind w:left="720"/>
        <w:contextualSpacing/>
        <w:jc w:val="both"/>
        <w:rPr>
          <w:rFonts w:ascii="Arial" w:hAnsi="Arial" w:cs="Arial"/>
          <w:sz w:val="24"/>
        </w:rPr>
      </w:pPr>
    </w:p>
    <w:p w14:paraId="31C80947" w14:textId="0AE5A4B2" w:rsidR="002630B6" w:rsidRPr="002630B6" w:rsidRDefault="006D5D2B" w:rsidP="002630B6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line="240" w:lineRule="auto"/>
        <w:ind w:right="62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b/>
          <w:bCs/>
          <w:sz w:val="24"/>
        </w:rPr>
        <w:lastRenderedPageBreak/>
        <w:t>G</w:t>
      </w:r>
      <w:r w:rsidRPr="006D5D2B">
        <w:rPr>
          <w:rFonts w:ascii="Arial" w:hAnsi="Arial" w:cs="Arial"/>
          <w:b/>
          <w:bCs/>
          <w:spacing w:val="1"/>
          <w:sz w:val="24"/>
        </w:rPr>
        <w:t>as</w:t>
      </w:r>
      <w:r w:rsidRPr="006D5D2B">
        <w:rPr>
          <w:rFonts w:ascii="Arial" w:hAnsi="Arial" w:cs="Arial"/>
          <w:b/>
          <w:bCs/>
          <w:sz w:val="24"/>
        </w:rPr>
        <w:t>t</w:t>
      </w:r>
      <w:r w:rsidRPr="006D5D2B">
        <w:rPr>
          <w:rFonts w:ascii="Arial" w:hAnsi="Arial" w:cs="Arial"/>
          <w:b/>
          <w:bCs/>
          <w:spacing w:val="-1"/>
          <w:sz w:val="24"/>
        </w:rPr>
        <w:t>o</w:t>
      </w:r>
      <w:r w:rsidRPr="006D5D2B">
        <w:rPr>
          <w:rFonts w:ascii="Arial" w:hAnsi="Arial" w:cs="Arial"/>
          <w:b/>
          <w:bCs/>
          <w:sz w:val="24"/>
        </w:rPr>
        <w:t>s</w:t>
      </w:r>
      <w:r w:rsidRPr="006D5D2B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-2"/>
          <w:sz w:val="24"/>
        </w:rPr>
        <w:t>m</w:t>
      </w:r>
      <w:r w:rsidRPr="006D5D2B">
        <w:rPr>
          <w:rFonts w:ascii="Arial" w:hAnsi="Arial" w:cs="Arial"/>
          <w:b/>
          <w:bCs/>
          <w:spacing w:val="1"/>
          <w:sz w:val="24"/>
        </w:rPr>
        <w:t>é</w:t>
      </w:r>
      <w:r w:rsidRPr="006D5D2B">
        <w:rPr>
          <w:rFonts w:ascii="Arial" w:hAnsi="Arial" w:cs="Arial"/>
          <w:b/>
          <w:bCs/>
          <w:sz w:val="24"/>
        </w:rPr>
        <w:t>di</w:t>
      </w:r>
      <w:r w:rsidRPr="006D5D2B">
        <w:rPr>
          <w:rFonts w:ascii="Arial" w:hAnsi="Arial" w:cs="Arial"/>
          <w:b/>
          <w:bCs/>
          <w:spacing w:val="1"/>
          <w:sz w:val="24"/>
        </w:rPr>
        <w:t>c</w:t>
      </w:r>
      <w:r w:rsidRPr="006D5D2B">
        <w:rPr>
          <w:rFonts w:ascii="Arial" w:hAnsi="Arial" w:cs="Arial"/>
          <w:b/>
          <w:bCs/>
          <w:sz w:val="24"/>
        </w:rPr>
        <w:t>os</w:t>
      </w:r>
      <w:r w:rsidRPr="006D5D2B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1"/>
          <w:sz w:val="24"/>
        </w:rPr>
        <w:t>e</w:t>
      </w:r>
      <w:r w:rsidRPr="006D5D2B">
        <w:rPr>
          <w:rFonts w:ascii="Arial" w:hAnsi="Arial" w:cs="Arial"/>
          <w:b/>
          <w:bCs/>
          <w:sz w:val="24"/>
        </w:rPr>
        <w:t>n</w:t>
      </w:r>
      <w:r w:rsidRPr="006D5D2B">
        <w:rPr>
          <w:rFonts w:ascii="Arial" w:hAnsi="Arial" w:cs="Arial"/>
          <w:b/>
          <w:bCs/>
          <w:spacing w:val="-1"/>
          <w:sz w:val="24"/>
        </w:rPr>
        <w:t xml:space="preserve"> e</w:t>
      </w:r>
      <w:r w:rsidRPr="006D5D2B">
        <w:rPr>
          <w:rFonts w:ascii="Arial" w:hAnsi="Arial" w:cs="Arial"/>
          <w:b/>
          <w:bCs/>
          <w:spacing w:val="1"/>
          <w:sz w:val="24"/>
        </w:rPr>
        <w:t>xc</w:t>
      </w:r>
      <w:r w:rsidRPr="006D5D2B">
        <w:rPr>
          <w:rFonts w:ascii="Arial" w:hAnsi="Arial" w:cs="Arial"/>
          <w:b/>
          <w:bCs/>
          <w:spacing w:val="-1"/>
          <w:sz w:val="24"/>
        </w:rPr>
        <w:t>es</w:t>
      </w:r>
      <w:r w:rsidRPr="006D5D2B">
        <w:rPr>
          <w:rFonts w:ascii="Arial" w:hAnsi="Arial" w:cs="Arial"/>
          <w:b/>
          <w:bCs/>
          <w:sz w:val="24"/>
        </w:rPr>
        <w:t xml:space="preserve">o: </w:t>
      </w:r>
      <w:r w:rsidRPr="006D5D2B">
        <w:rPr>
          <w:rFonts w:ascii="Arial" w:hAnsi="Arial" w:cs="Arial"/>
          <w:sz w:val="24"/>
        </w:rPr>
        <w:t xml:space="preserve">Opera después de agotarse la cobertura hasta la suma máxima por evento y por ocupante, de $600,000.00 M.N. y con un límite máximo anual de $1´000,000.00 M.N. sin aplicación de ningún deducible o coaseguro. </w:t>
      </w:r>
    </w:p>
    <w:p w14:paraId="036416B6" w14:textId="77777777" w:rsidR="002630B6" w:rsidRPr="006D5D2B" w:rsidRDefault="002630B6" w:rsidP="002630B6">
      <w:pPr>
        <w:pStyle w:val="Prrafodelista"/>
        <w:widowControl w:val="0"/>
        <w:autoSpaceDE w:val="0"/>
        <w:autoSpaceDN w:val="0"/>
        <w:adjustRightInd w:val="0"/>
        <w:spacing w:before="100" w:line="240" w:lineRule="auto"/>
        <w:ind w:left="720" w:right="62"/>
        <w:contextualSpacing/>
        <w:jc w:val="both"/>
        <w:rPr>
          <w:rFonts w:ascii="Arial" w:hAnsi="Arial" w:cs="Arial"/>
          <w:sz w:val="24"/>
        </w:rPr>
      </w:pPr>
    </w:p>
    <w:p w14:paraId="5D6C38B0" w14:textId="09EDAEAD" w:rsidR="002630B6" w:rsidRPr="002630B6" w:rsidRDefault="006D5D2B" w:rsidP="002630B6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00" w:line="240" w:lineRule="auto"/>
        <w:ind w:right="62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b/>
          <w:sz w:val="24"/>
        </w:rPr>
        <w:t>Asistencia jurídica</w:t>
      </w:r>
      <w:r w:rsidRPr="006D5D2B">
        <w:rPr>
          <w:rFonts w:ascii="Arial" w:hAnsi="Arial" w:cs="Arial"/>
          <w:sz w:val="24"/>
        </w:rPr>
        <w:t>: Se acepta que el asegurado pueda contratar en forma directa la compañía afianzadora y su cobertura.</w:t>
      </w:r>
    </w:p>
    <w:p w14:paraId="45AB731F" w14:textId="77777777" w:rsidR="002630B6" w:rsidRPr="002630B6" w:rsidRDefault="002630B6" w:rsidP="002630B6">
      <w:pPr>
        <w:pStyle w:val="Prrafodelista"/>
        <w:widowControl w:val="0"/>
        <w:autoSpaceDE w:val="0"/>
        <w:autoSpaceDN w:val="0"/>
        <w:adjustRightInd w:val="0"/>
        <w:spacing w:before="100" w:line="240" w:lineRule="auto"/>
        <w:ind w:left="720" w:right="62"/>
        <w:contextualSpacing/>
        <w:jc w:val="both"/>
        <w:rPr>
          <w:rFonts w:ascii="Arial" w:hAnsi="Arial" w:cs="Arial"/>
          <w:sz w:val="24"/>
        </w:rPr>
      </w:pPr>
    </w:p>
    <w:p w14:paraId="04CD3F33" w14:textId="6944B7AE" w:rsidR="002630B6" w:rsidRPr="002630B6" w:rsidRDefault="006D5D2B" w:rsidP="002630B6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7" w:line="260" w:lineRule="exact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b/>
          <w:sz w:val="24"/>
        </w:rPr>
        <w:t>Robo de Autopartes:</w:t>
      </w:r>
      <w:r w:rsidRPr="006D5D2B">
        <w:rPr>
          <w:rFonts w:ascii="Arial" w:hAnsi="Arial" w:cs="Arial"/>
          <w:sz w:val="24"/>
        </w:rPr>
        <w:t xml:space="preserve"> Se considerará el robo de autopartes cualquier parte de la unidad asegurada. La aseguradora está obligada en reponer la o las partes que conforman la unidad. El asegurado pagara el 10% del valor de la pieza sustraída.</w:t>
      </w:r>
    </w:p>
    <w:p w14:paraId="4ABE6248" w14:textId="77777777" w:rsidR="002630B6" w:rsidRPr="002630B6" w:rsidRDefault="002630B6" w:rsidP="002630B6">
      <w:pPr>
        <w:pStyle w:val="Prrafodelista"/>
        <w:widowControl w:val="0"/>
        <w:autoSpaceDE w:val="0"/>
        <w:autoSpaceDN w:val="0"/>
        <w:adjustRightInd w:val="0"/>
        <w:spacing w:before="17" w:line="260" w:lineRule="exact"/>
        <w:ind w:left="720"/>
        <w:contextualSpacing/>
        <w:jc w:val="both"/>
        <w:rPr>
          <w:rFonts w:ascii="Arial" w:hAnsi="Arial" w:cs="Arial"/>
          <w:sz w:val="24"/>
        </w:rPr>
      </w:pPr>
    </w:p>
    <w:p w14:paraId="039A7CBE" w14:textId="3AE4C5A8" w:rsidR="006D5D2B" w:rsidRPr="002630B6" w:rsidRDefault="006D5D2B" w:rsidP="002630B6">
      <w:pPr>
        <w:pStyle w:val="Prrafodelista"/>
        <w:widowControl w:val="0"/>
        <w:numPr>
          <w:ilvl w:val="0"/>
          <w:numId w:val="43"/>
        </w:numPr>
        <w:autoSpaceDE w:val="0"/>
        <w:autoSpaceDN w:val="0"/>
        <w:adjustRightInd w:val="0"/>
        <w:spacing w:before="17" w:line="260" w:lineRule="exact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b/>
          <w:bCs/>
          <w:spacing w:val="1"/>
          <w:sz w:val="24"/>
        </w:rPr>
        <w:t>Se</w:t>
      </w:r>
      <w:r w:rsidRPr="006D5D2B">
        <w:rPr>
          <w:rFonts w:ascii="Arial" w:hAnsi="Arial" w:cs="Arial"/>
          <w:b/>
          <w:bCs/>
          <w:sz w:val="24"/>
        </w:rPr>
        <w:t>guro</w:t>
      </w:r>
      <w:r w:rsidRPr="006D5D2B">
        <w:rPr>
          <w:rFonts w:ascii="Arial" w:hAnsi="Arial" w:cs="Arial"/>
          <w:b/>
          <w:bCs/>
          <w:spacing w:val="8"/>
          <w:sz w:val="24"/>
        </w:rPr>
        <w:t xml:space="preserve"> </w:t>
      </w:r>
      <w:r w:rsidRPr="006D5D2B">
        <w:rPr>
          <w:rFonts w:ascii="Arial" w:hAnsi="Arial" w:cs="Arial"/>
          <w:b/>
          <w:bCs/>
          <w:sz w:val="24"/>
        </w:rPr>
        <w:t>de</w:t>
      </w:r>
      <w:r w:rsidRPr="006D5D2B">
        <w:rPr>
          <w:rFonts w:ascii="Arial" w:hAnsi="Arial" w:cs="Arial"/>
          <w:b/>
          <w:bCs/>
          <w:spacing w:val="13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1"/>
          <w:sz w:val="24"/>
        </w:rPr>
        <w:t>v</w:t>
      </w:r>
      <w:r w:rsidRPr="006D5D2B">
        <w:rPr>
          <w:rFonts w:ascii="Arial" w:hAnsi="Arial" w:cs="Arial"/>
          <w:b/>
          <w:bCs/>
          <w:sz w:val="24"/>
        </w:rPr>
        <w:t>ida</w:t>
      </w:r>
      <w:r w:rsidRPr="006D5D2B">
        <w:rPr>
          <w:rFonts w:ascii="Arial" w:hAnsi="Arial" w:cs="Arial"/>
          <w:b/>
          <w:bCs/>
          <w:spacing w:val="16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-3"/>
          <w:sz w:val="24"/>
        </w:rPr>
        <w:t>d</w:t>
      </w:r>
      <w:r w:rsidRPr="006D5D2B">
        <w:rPr>
          <w:rFonts w:ascii="Arial" w:hAnsi="Arial" w:cs="Arial"/>
          <w:b/>
          <w:bCs/>
          <w:spacing w:val="1"/>
          <w:sz w:val="24"/>
        </w:rPr>
        <w:t>e</w:t>
      </w:r>
      <w:r w:rsidRPr="006D5D2B">
        <w:rPr>
          <w:rFonts w:ascii="Arial" w:hAnsi="Arial" w:cs="Arial"/>
          <w:b/>
          <w:bCs/>
          <w:spacing w:val="2"/>
          <w:sz w:val="24"/>
        </w:rPr>
        <w:t xml:space="preserve">l </w:t>
      </w:r>
      <w:r w:rsidRPr="006D5D2B">
        <w:rPr>
          <w:rFonts w:ascii="Arial" w:hAnsi="Arial" w:cs="Arial"/>
          <w:b/>
          <w:bCs/>
          <w:sz w:val="24"/>
        </w:rPr>
        <w:t>(</w:t>
      </w:r>
      <w:r w:rsidRPr="006D5D2B">
        <w:rPr>
          <w:rFonts w:ascii="Arial" w:hAnsi="Arial" w:cs="Arial"/>
          <w:b/>
          <w:bCs/>
          <w:spacing w:val="-1"/>
          <w:sz w:val="24"/>
        </w:rPr>
        <w:t>d</w:t>
      </w:r>
      <w:r w:rsidRPr="006D5D2B">
        <w:rPr>
          <w:rFonts w:ascii="Arial" w:hAnsi="Arial" w:cs="Arial"/>
          <w:b/>
          <w:bCs/>
          <w:sz w:val="24"/>
        </w:rPr>
        <w:t>e</w:t>
      </w:r>
      <w:r w:rsidRPr="006D5D2B">
        <w:rPr>
          <w:rFonts w:ascii="Arial" w:hAnsi="Arial" w:cs="Arial"/>
          <w:b/>
          <w:bCs/>
          <w:spacing w:val="12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-2"/>
          <w:sz w:val="24"/>
        </w:rPr>
        <w:t>l</w:t>
      </w:r>
      <w:r w:rsidRPr="006D5D2B">
        <w:rPr>
          <w:rFonts w:ascii="Arial" w:hAnsi="Arial" w:cs="Arial"/>
          <w:b/>
          <w:bCs/>
          <w:spacing w:val="1"/>
          <w:sz w:val="24"/>
        </w:rPr>
        <w:t>a</w:t>
      </w:r>
      <w:r w:rsidRPr="006D5D2B">
        <w:rPr>
          <w:rFonts w:ascii="Arial" w:hAnsi="Arial" w:cs="Arial"/>
          <w:b/>
          <w:bCs/>
          <w:sz w:val="24"/>
        </w:rPr>
        <w:t>)</w:t>
      </w:r>
      <w:r w:rsidRPr="006D5D2B">
        <w:rPr>
          <w:rFonts w:ascii="Arial" w:hAnsi="Arial" w:cs="Arial"/>
          <w:b/>
          <w:bCs/>
          <w:spacing w:val="14"/>
          <w:sz w:val="24"/>
        </w:rPr>
        <w:t xml:space="preserve"> </w:t>
      </w:r>
      <w:r w:rsidRPr="006D5D2B">
        <w:rPr>
          <w:rFonts w:ascii="Arial" w:hAnsi="Arial" w:cs="Arial"/>
          <w:b/>
          <w:bCs/>
          <w:spacing w:val="1"/>
          <w:sz w:val="24"/>
        </w:rPr>
        <w:t>c</w:t>
      </w:r>
      <w:r w:rsidRPr="006D5D2B">
        <w:rPr>
          <w:rFonts w:ascii="Arial" w:hAnsi="Arial" w:cs="Arial"/>
          <w:b/>
          <w:bCs/>
          <w:sz w:val="24"/>
        </w:rPr>
        <w:t>on</w:t>
      </w:r>
      <w:r w:rsidRPr="006D5D2B">
        <w:rPr>
          <w:rFonts w:ascii="Arial" w:hAnsi="Arial" w:cs="Arial"/>
          <w:b/>
          <w:bCs/>
          <w:spacing w:val="-1"/>
          <w:sz w:val="24"/>
        </w:rPr>
        <w:t>d</w:t>
      </w:r>
      <w:r w:rsidRPr="006D5D2B">
        <w:rPr>
          <w:rFonts w:ascii="Arial" w:hAnsi="Arial" w:cs="Arial"/>
          <w:b/>
          <w:bCs/>
          <w:sz w:val="24"/>
        </w:rPr>
        <w:t xml:space="preserve">uctor(a) </w:t>
      </w:r>
      <w:r w:rsidRPr="006D5D2B">
        <w:rPr>
          <w:rFonts w:ascii="Arial" w:hAnsi="Arial" w:cs="Arial"/>
          <w:b/>
          <w:bCs/>
          <w:color w:val="000000" w:themeColor="text1"/>
          <w:sz w:val="24"/>
        </w:rPr>
        <w:t>y ocupante(s):</w:t>
      </w:r>
      <w:r w:rsidRPr="006D5D2B">
        <w:rPr>
          <w:rFonts w:ascii="Arial" w:hAnsi="Arial" w:cs="Arial"/>
          <w:b/>
          <w:bCs/>
          <w:spacing w:val="2"/>
          <w:sz w:val="24"/>
        </w:rPr>
        <w:t xml:space="preserve"> </w:t>
      </w:r>
      <w:r w:rsidRPr="006D5D2B">
        <w:rPr>
          <w:rFonts w:ascii="Arial" w:hAnsi="Arial" w:cs="Arial"/>
          <w:sz w:val="24"/>
        </w:rPr>
        <w:t>En el caso de un accidente donde el(la) conductor(a) y ocupante(s) de la unidad fallezca(n), estará(n) cubierto por $200,000.00 m.n. (se refiere a la cobertura de muerte accidental del (de la) conductor(a), debiendo siempre ser especificado en el resguardo del vehículo, quién es el beneficiario designado por el conductor(a) y ocupante(s) que lo acompañe (n).</w:t>
      </w:r>
    </w:p>
    <w:p w14:paraId="58B032E1" w14:textId="77777777" w:rsidR="006D5D2B" w:rsidRPr="006D5D2B" w:rsidRDefault="006D5D2B" w:rsidP="006D5D2B">
      <w:pPr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La compañía de seguros pagará el 100% de las pérdidas registradas durante la vigencia de la póliza, sin aplicación de proporcionalidad alguna arriba de los deducibles y coaseguros, hasta el valor del vehículo dañado, pero sin rebasar el límite y sub límite de la tabla de coberturas.</w:t>
      </w:r>
    </w:p>
    <w:p w14:paraId="7A9CC1DE" w14:textId="77777777" w:rsidR="006D5D2B" w:rsidRPr="006D5D2B" w:rsidRDefault="006D5D2B" w:rsidP="006D5D2B">
      <w:pPr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Durante la vigencia de la póliza de seguro, resultado de la presente licitación, no se cobrará los siguientes conceptos:</w:t>
      </w:r>
    </w:p>
    <w:p w14:paraId="6AC66392" w14:textId="0C478DBE" w:rsidR="006D5D2B" w:rsidRDefault="006D5D2B" w:rsidP="006D5D2B">
      <w:pPr>
        <w:pStyle w:val="Prrafodelista"/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Altas posteriores al inicio de la vigencia de nuevos bienes asegurados (refriéndose al derecho de póliza);</w:t>
      </w:r>
    </w:p>
    <w:p w14:paraId="30156B58" w14:textId="77777777" w:rsidR="002630B6" w:rsidRPr="006D5D2B" w:rsidRDefault="002630B6" w:rsidP="002630B6">
      <w:pPr>
        <w:pStyle w:val="Prrafodelista"/>
        <w:spacing w:before="100" w:after="200" w:line="276" w:lineRule="auto"/>
        <w:ind w:left="720"/>
        <w:contextualSpacing/>
        <w:jc w:val="both"/>
        <w:rPr>
          <w:rFonts w:ascii="Arial" w:hAnsi="Arial" w:cs="Arial"/>
          <w:sz w:val="24"/>
        </w:rPr>
      </w:pPr>
    </w:p>
    <w:p w14:paraId="26B0D710" w14:textId="7C63EDF8" w:rsidR="002630B6" w:rsidRPr="002630B6" w:rsidRDefault="006D5D2B" w:rsidP="002630B6">
      <w:pPr>
        <w:pStyle w:val="Prrafodelista"/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 xml:space="preserve">Reexpedición de pólizas; y </w:t>
      </w:r>
    </w:p>
    <w:p w14:paraId="5D79DA19" w14:textId="77777777" w:rsidR="002630B6" w:rsidRPr="002630B6" w:rsidRDefault="002630B6" w:rsidP="002630B6">
      <w:pPr>
        <w:pStyle w:val="Prrafodelista"/>
        <w:spacing w:before="100" w:after="200" w:line="276" w:lineRule="auto"/>
        <w:ind w:left="720"/>
        <w:contextualSpacing/>
        <w:jc w:val="both"/>
        <w:rPr>
          <w:rFonts w:ascii="Arial" w:hAnsi="Arial" w:cs="Arial"/>
          <w:sz w:val="24"/>
        </w:rPr>
      </w:pPr>
    </w:p>
    <w:p w14:paraId="4DD49657" w14:textId="77777777" w:rsidR="006D5D2B" w:rsidRPr="006D5D2B" w:rsidRDefault="006D5D2B" w:rsidP="006D5D2B">
      <w:pPr>
        <w:pStyle w:val="Prrafodelista"/>
        <w:numPr>
          <w:ilvl w:val="0"/>
          <w:numId w:val="9"/>
        </w:numPr>
        <w:spacing w:before="100" w:after="2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Duplicados de pólizas.</w:t>
      </w:r>
    </w:p>
    <w:p w14:paraId="6F985D2C" w14:textId="37F48B85" w:rsidR="006D5D2B" w:rsidRPr="00ED28B0" w:rsidRDefault="00ED28B0" w:rsidP="006D5D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  <w:r w:rsidRPr="00ED28B0">
        <w:rPr>
          <w:rFonts w:ascii="Arial" w:hAnsi="Arial" w:cs="Arial"/>
          <w:b/>
          <w:bCs/>
          <w:spacing w:val="-1"/>
          <w:sz w:val="24"/>
          <w:u w:val="single"/>
        </w:rPr>
        <w:t>4</w:t>
      </w:r>
      <w:r w:rsidRPr="00ED28B0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.</w:t>
      </w:r>
      <w:r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 xml:space="preserve">- </w:t>
      </w:r>
      <w:r w:rsidRPr="00ED28B0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LIQUIDACIÓN DE PÉRDIDAS Y ATENCIÓN DE SINIESTROS:</w:t>
      </w:r>
    </w:p>
    <w:p w14:paraId="433B4B75" w14:textId="77777777" w:rsidR="006D5D2B" w:rsidRPr="006D5D2B" w:rsidRDefault="006D5D2B" w:rsidP="006D5D2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</w:rPr>
      </w:pPr>
    </w:p>
    <w:p w14:paraId="7D433723" w14:textId="05EC722E" w:rsidR="006D5D2B" w:rsidRDefault="006D5D2B" w:rsidP="002630B6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before="100" w:after="0" w:line="240" w:lineRule="auto"/>
        <w:ind w:right="70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 xml:space="preserve">Se pagará un 15% adicional al precio de venta establecido en las guías EBC y/o </w:t>
      </w:r>
      <w:proofErr w:type="spellStart"/>
      <w:r w:rsidRPr="006D5D2B">
        <w:rPr>
          <w:rFonts w:ascii="Arial" w:hAnsi="Arial" w:cs="Arial"/>
          <w:sz w:val="24"/>
        </w:rPr>
        <w:t>autométrica</w:t>
      </w:r>
      <w:proofErr w:type="spellEnd"/>
      <w:r w:rsidRPr="006D5D2B">
        <w:rPr>
          <w:rFonts w:ascii="Arial" w:hAnsi="Arial" w:cs="Arial"/>
          <w:sz w:val="24"/>
        </w:rPr>
        <w:t xml:space="preserve"> a la fecha del siniestro, por concepto de robo total o pérdida total por daños materiales.</w:t>
      </w:r>
    </w:p>
    <w:p w14:paraId="5AE4F4FF" w14:textId="77777777" w:rsidR="002630B6" w:rsidRPr="002630B6" w:rsidRDefault="002630B6" w:rsidP="002630B6">
      <w:pPr>
        <w:pStyle w:val="Prrafodelista"/>
        <w:widowControl w:val="0"/>
        <w:autoSpaceDE w:val="0"/>
        <w:autoSpaceDN w:val="0"/>
        <w:adjustRightInd w:val="0"/>
        <w:spacing w:before="100" w:after="0" w:line="240" w:lineRule="auto"/>
        <w:ind w:left="720" w:right="70"/>
        <w:contextualSpacing/>
        <w:jc w:val="both"/>
        <w:rPr>
          <w:rFonts w:ascii="Arial" w:hAnsi="Arial" w:cs="Arial"/>
          <w:sz w:val="24"/>
        </w:rPr>
      </w:pPr>
    </w:p>
    <w:p w14:paraId="16A730A1" w14:textId="510B0D37" w:rsidR="006D5D2B" w:rsidRPr="006D5D2B" w:rsidRDefault="00CA60D6" w:rsidP="002630B6">
      <w:pPr>
        <w:pStyle w:val="Prrafodelista"/>
        <w:widowControl w:val="0"/>
        <w:numPr>
          <w:ilvl w:val="0"/>
          <w:numId w:val="44"/>
        </w:numPr>
        <w:tabs>
          <w:tab w:val="left" w:pos="820"/>
        </w:tabs>
        <w:autoSpaceDE w:val="0"/>
        <w:autoSpaceDN w:val="0"/>
        <w:adjustRightInd w:val="0"/>
        <w:spacing w:before="100" w:after="0" w:line="240" w:lineRule="auto"/>
        <w:ind w:right="60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Pago de deducibles: c</w:t>
      </w:r>
      <w:r w:rsidR="006D5D2B" w:rsidRPr="006D5D2B">
        <w:rPr>
          <w:rFonts w:ascii="Arial" w:hAnsi="Arial" w:cs="Arial"/>
          <w:sz w:val="24"/>
        </w:rPr>
        <w:t>uando ocurra un siniestro con costo de deducible, no siendo culpable el beneficiario del seguro (el asegurado), según apreciación del ajustador y el siniestro se vaya a juicio para su recuperación, éste no será pagado por el beneficiario del seguro.</w:t>
      </w:r>
    </w:p>
    <w:p w14:paraId="27014E28" w14:textId="77777777" w:rsidR="006D5D2B" w:rsidRPr="006D5D2B" w:rsidRDefault="006D5D2B" w:rsidP="006D5D2B">
      <w:pPr>
        <w:pStyle w:val="Prrafodelista"/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</w:rPr>
      </w:pPr>
    </w:p>
    <w:p w14:paraId="78201AD0" w14:textId="77777777" w:rsidR="006D5D2B" w:rsidRPr="006D5D2B" w:rsidRDefault="006D5D2B" w:rsidP="002630B6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before="100" w:after="0" w:line="239" w:lineRule="auto"/>
        <w:ind w:right="57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 xml:space="preserve">En el caso de pérdida total en el que el asegurado no pueda acreditar la propiedad de la unidad siniestrada y que gocen de cobertura amplia, la aseguradora acepta pagar el 100 % del valor del automóvil con base a las guías EBC y a la guía </w:t>
      </w:r>
      <w:proofErr w:type="spellStart"/>
      <w:r w:rsidRPr="006D5D2B">
        <w:rPr>
          <w:rFonts w:ascii="Arial" w:hAnsi="Arial" w:cs="Arial"/>
          <w:sz w:val="24"/>
        </w:rPr>
        <w:t>autométrica</w:t>
      </w:r>
      <w:proofErr w:type="spellEnd"/>
      <w:r w:rsidRPr="006D5D2B">
        <w:rPr>
          <w:rFonts w:ascii="Arial" w:hAnsi="Arial" w:cs="Arial"/>
          <w:sz w:val="24"/>
        </w:rPr>
        <w:t xml:space="preserve"> quedándose la aseguradora con los restos.</w:t>
      </w:r>
    </w:p>
    <w:p w14:paraId="02B185F1" w14:textId="77777777" w:rsidR="006D5D2B" w:rsidRPr="006D5D2B" w:rsidRDefault="006D5D2B" w:rsidP="006D5D2B">
      <w:pPr>
        <w:widowControl w:val="0"/>
        <w:autoSpaceDE w:val="0"/>
        <w:autoSpaceDN w:val="0"/>
        <w:adjustRightInd w:val="0"/>
        <w:spacing w:after="0" w:line="239" w:lineRule="auto"/>
        <w:ind w:right="57"/>
        <w:jc w:val="both"/>
        <w:rPr>
          <w:rFonts w:ascii="Arial" w:hAnsi="Arial" w:cs="Arial"/>
          <w:sz w:val="24"/>
        </w:rPr>
      </w:pPr>
    </w:p>
    <w:p w14:paraId="6F6C2313" w14:textId="77777777" w:rsidR="006D5D2B" w:rsidRPr="006D5D2B" w:rsidRDefault="006D5D2B" w:rsidP="002630B6">
      <w:pPr>
        <w:pStyle w:val="Prrafodelista"/>
        <w:widowControl w:val="0"/>
        <w:numPr>
          <w:ilvl w:val="0"/>
          <w:numId w:val="44"/>
        </w:numPr>
        <w:autoSpaceDE w:val="0"/>
        <w:autoSpaceDN w:val="0"/>
        <w:adjustRightInd w:val="0"/>
        <w:spacing w:before="100" w:after="0" w:line="274" w:lineRule="exact"/>
        <w:ind w:right="58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lastRenderedPageBreak/>
        <w:t>En el caso de pérdidas totales o robos, solo con presentar los últimos 5 pagos del refrendo vehicular, o con una carta certificada por la agencia donde se adquirió la(s) unidad(es) con la que acredite será suficiente para que se efectúe el pago por parte de la aseguradora.</w:t>
      </w:r>
    </w:p>
    <w:p w14:paraId="228A7669" w14:textId="77777777" w:rsidR="006D5D2B" w:rsidRPr="006D5D2B" w:rsidRDefault="006D5D2B" w:rsidP="006D5D2B">
      <w:pPr>
        <w:pStyle w:val="Prrafodelista"/>
        <w:widowControl w:val="0"/>
        <w:autoSpaceDE w:val="0"/>
        <w:autoSpaceDN w:val="0"/>
        <w:adjustRightInd w:val="0"/>
        <w:spacing w:after="0" w:line="274" w:lineRule="exact"/>
        <w:ind w:right="58"/>
        <w:jc w:val="both"/>
        <w:rPr>
          <w:rFonts w:ascii="Arial" w:hAnsi="Arial" w:cs="Arial"/>
          <w:sz w:val="24"/>
        </w:rPr>
      </w:pPr>
    </w:p>
    <w:p w14:paraId="34ED50EB" w14:textId="77777777" w:rsidR="006D5D2B" w:rsidRPr="006D5D2B" w:rsidRDefault="006D5D2B" w:rsidP="002630B6">
      <w:pPr>
        <w:pStyle w:val="Prrafodelista"/>
        <w:numPr>
          <w:ilvl w:val="0"/>
          <w:numId w:val="44"/>
        </w:numPr>
        <w:spacing w:before="100" w:after="2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Para las unidades de 3 ½ toneladas el conductor deberá contar con licencia de automovilista o chofer para cumplir con los términos de la póliza operando íntegramente la cobertura.</w:t>
      </w:r>
    </w:p>
    <w:p w14:paraId="0F4618BF" w14:textId="77777777" w:rsidR="006D5D2B" w:rsidRPr="006D5D2B" w:rsidRDefault="006D5D2B" w:rsidP="006D5D2B">
      <w:pPr>
        <w:pStyle w:val="Prrafodelista"/>
        <w:rPr>
          <w:rFonts w:ascii="Arial" w:hAnsi="Arial" w:cs="Arial"/>
          <w:sz w:val="24"/>
        </w:rPr>
      </w:pPr>
    </w:p>
    <w:p w14:paraId="0F3014E8" w14:textId="77777777" w:rsidR="006D5D2B" w:rsidRPr="006D5D2B" w:rsidRDefault="006D5D2B" w:rsidP="002630B6">
      <w:pPr>
        <w:pStyle w:val="Prrafodelista"/>
        <w:numPr>
          <w:ilvl w:val="0"/>
          <w:numId w:val="44"/>
        </w:numPr>
        <w:spacing w:before="100" w:after="200" w:line="276" w:lineRule="auto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Atención a siniestros por colisión en el lugar mismo de ocurrido, el ajustador de la compañía esté en un tiempo no mayor a 30 minutos después de notificado el siniestro o accidente, para la zona conurbada de Guadalajara; en el resto del Estado o en carreteras o caminos federales, estatales o pequeños poblados en 2 horas como máximo, de lo contrario la compañía de seguros absorberá la cantidad de $100.00 m.n. por cada minuto de retraso en relación al tiempo establecido hasta por un monto máximo de la prima que se le adjudique.</w:t>
      </w:r>
    </w:p>
    <w:p w14:paraId="429EC0A1" w14:textId="695D6668" w:rsidR="006D5D2B" w:rsidRPr="00ED28B0" w:rsidRDefault="00ED28B0" w:rsidP="002630B6">
      <w:pPr>
        <w:widowControl w:val="0"/>
        <w:autoSpaceDE w:val="0"/>
        <w:autoSpaceDN w:val="0"/>
        <w:adjustRightInd w:val="0"/>
        <w:spacing w:line="240" w:lineRule="auto"/>
        <w:ind w:right="55"/>
        <w:jc w:val="both"/>
        <w:rPr>
          <w:rFonts w:ascii="Arial" w:hAnsi="Arial" w:cs="Arial"/>
          <w:b/>
          <w:sz w:val="24"/>
          <w:u w:val="single"/>
        </w:rPr>
      </w:pPr>
      <w:r w:rsidRPr="00ED28B0">
        <w:rPr>
          <w:rFonts w:ascii="Arial" w:hAnsi="Arial" w:cs="Arial"/>
          <w:b/>
          <w:sz w:val="24"/>
          <w:u w:val="single"/>
        </w:rPr>
        <w:t xml:space="preserve">5.- CONDICIONES DE SERVICIO: </w:t>
      </w:r>
    </w:p>
    <w:p w14:paraId="5F50AABE" w14:textId="7CB4D43F" w:rsidR="006D5D2B" w:rsidRPr="006D5D2B" w:rsidRDefault="006D5D2B" w:rsidP="002630B6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0" w:line="240" w:lineRule="auto"/>
        <w:ind w:right="70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Mantener actualizado el padrón de vehículos, siendo obligación de la Auditoría Superior del Estado de Jalisco proporcionar las altas y bajas en</w:t>
      </w:r>
      <w:r w:rsidR="00CA60D6">
        <w:rPr>
          <w:rFonts w:ascii="Arial" w:hAnsi="Arial" w:cs="Arial"/>
          <w:sz w:val="24"/>
        </w:rPr>
        <w:t xml:space="preserve"> tiempo y forma a través de la J</w:t>
      </w:r>
      <w:r w:rsidRPr="006D5D2B">
        <w:rPr>
          <w:rFonts w:ascii="Arial" w:hAnsi="Arial" w:cs="Arial"/>
          <w:sz w:val="24"/>
        </w:rPr>
        <w:t xml:space="preserve">efatura de </w:t>
      </w:r>
      <w:r w:rsidR="00CA60D6">
        <w:rPr>
          <w:rFonts w:ascii="Arial" w:hAnsi="Arial" w:cs="Arial"/>
          <w:sz w:val="24"/>
        </w:rPr>
        <w:t>Recursos Materiales</w:t>
      </w:r>
      <w:r w:rsidRPr="006D5D2B">
        <w:rPr>
          <w:rFonts w:ascii="Arial" w:hAnsi="Arial" w:cs="Arial"/>
          <w:sz w:val="24"/>
        </w:rPr>
        <w:t xml:space="preserve"> de la Dirección General de Administración, de la Auditoría Superior del Estado de Jalisco, así como el de conciliar las altas y bajas, en los archivos correspondientes padrón vehicular con dicha jefatura.</w:t>
      </w:r>
    </w:p>
    <w:p w14:paraId="34B31517" w14:textId="77777777" w:rsidR="006D5D2B" w:rsidRPr="006D5D2B" w:rsidRDefault="006D5D2B" w:rsidP="006D5D2B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Arial" w:hAnsi="Arial" w:cs="Arial"/>
          <w:sz w:val="24"/>
        </w:rPr>
      </w:pPr>
    </w:p>
    <w:p w14:paraId="553CD391" w14:textId="77777777" w:rsidR="006D5D2B" w:rsidRPr="006D5D2B" w:rsidRDefault="006D5D2B" w:rsidP="002630B6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0" w:line="240" w:lineRule="auto"/>
        <w:ind w:right="70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Entregar por cada vehículo dos tantos de la póliza en original, las condiciones generales del seguro y lista de ajustadores con sus datos.</w:t>
      </w:r>
    </w:p>
    <w:p w14:paraId="198D5511" w14:textId="77777777" w:rsidR="006D5D2B" w:rsidRPr="006D5D2B" w:rsidRDefault="006D5D2B" w:rsidP="006D5D2B">
      <w:pPr>
        <w:pStyle w:val="Prrafodelista"/>
        <w:rPr>
          <w:rFonts w:ascii="Arial" w:hAnsi="Arial" w:cs="Arial"/>
          <w:sz w:val="24"/>
        </w:rPr>
      </w:pPr>
    </w:p>
    <w:p w14:paraId="5E053C86" w14:textId="2D331035" w:rsidR="006D5D2B" w:rsidRPr="006D5D2B" w:rsidRDefault="006D5D2B" w:rsidP="002630B6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spacing w:before="100" w:after="0" w:line="240" w:lineRule="auto"/>
        <w:ind w:right="70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Mandar imprimir (sin costo adicional) calcomanías auto-adheribles, las cuales contendrán la siguiente información: el servidor público afectado deberá reportar el sin</w:t>
      </w:r>
      <w:r w:rsidR="00CA60D6">
        <w:rPr>
          <w:rFonts w:ascii="Arial" w:hAnsi="Arial" w:cs="Arial"/>
          <w:sz w:val="24"/>
        </w:rPr>
        <w:t xml:space="preserve">iestro al momento del mismo, a la Jefatura </w:t>
      </w:r>
      <w:r w:rsidRPr="006D5D2B">
        <w:rPr>
          <w:rFonts w:ascii="Arial" w:hAnsi="Arial" w:cs="Arial"/>
          <w:sz w:val="24"/>
        </w:rPr>
        <w:t xml:space="preserve">de </w:t>
      </w:r>
      <w:r w:rsidR="00CA60D6">
        <w:rPr>
          <w:rFonts w:ascii="Arial" w:hAnsi="Arial" w:cs="Arial"/>
          <w:sz w:val="24"/>
        </w:rPr>
        <w:t>Recursos Materiales</w:t>
      </w:r>
      <w:r w:rsidRPr="006D5D2B">
        <w:rPr>
          <w:rFonts w:ascii="Arial" w:hAnsi="Arial" w:cs="Arial"/>
          <w:sz w:val="24"/>
        </w:rPr>
        <w:t xml:space="preserve">, al teléfono </w:t>
      </w:r>
      <w:r w:rsidR="00CA60D6">
        <w:rPr>
          <w:rFonts w:ascii="Arial" w:hAnsi="Arial" w:cs="Arial"/>
          <w:sz w:val="24"/>
        </w:rPr>
        <w:t>33-</w:t>
      </w:r>
      <w:r w:rsidRPr="006D5D2B">
        <w:rPr>
          <w:rFonts w:ascii="Arial" w:hAnsi="Arial" w:cs="Arial"/>
          <w:sz w:val="24"/>
        </w:rPr>
        <w:t>36-79-45-00 ext. 1122 y 1132. Así mismo los teléfonos que designe la compañía de seguros responsable; siempre se debe portar copia de la póliza; el tiempo de cobertura; vigencia de la póliza;</w:t>
      </w:r>
      <w:r w:rsidRPr="006D5D2B">
        <w:rPr>
          <w:rFonts w:ascii="Arial" w:hAnsi="Arial" w:cs="Arial"/>
          <w:spacing w:val="10"/>
          <w:sz w:val="24"/>
        </w:rPr>
        <w:t xml:space="preserve"> </w:t>
      </w:r>
      <w:r w:rsidRPr="006D5D2B">
        <w:rPr>
          <w:rFonts w:ascii="Arial" w:hAnsi="Arial" w:cs="Arial"/>
          <w:sz w:val="24"/>
        </w:rPr>
        <w:t xml:space="preserve">datos de ajustadores; no será necesario portar licencia de manejo ni que la misma esté vigente; que no se debe conducir en estado de ebriedad, todos los vehículos y equipos que forman parte de la flotilla de la ASEJ, de modelos </w:t>
      </w:r>
      <w:r w:rsidRPr="006D5D2B">
        <w:rPr>
          <w:rFonts w:ascii="Arial" w:hAnsi="Arial" w:cs="Arial"/>
          <w:b/>
          <w:sz w:val="24"/>
        </w:rPr>
        <w:t>2020</w:t>
      </w:r>
      <w:r w:rsidRPr="006D5D2B">
        <w:rPr>
          <w:rFonts w:ascii="Arial" w:hAnsi="Arial" w:cs="Arial"/>
          <w:sz w:val="24"/>
        </w:rPr>
        <w:t xml:space="preserve">, </w:t>
      </w:r>
      <w:r w:rsidRPr="006D5D2B">
        <w:rPr>
          <w:rFonts w:ascii="Arial" w:hAnsi="Arial" w:cs="Arial"/>
          <w:b/>
          <w:sz w:val="24"/>
        </w:rPr>
        <w:t>2017</w:t>
      </w:r>
      <w:r w:rsidRPr="006D5D2B">
        <w:rPr>
          <w:rFonts w:ascii="Arial" w:hAnsi="Arial" w:cs="Arial"/>
          <w:sz w:val="24"/>
        </w:rPr>
        <w:t xml:space="preserve">, </w:t>
      </w:r>
      <w:r w:rsidRPr="006D5D2B">
        <w:rPr>
          <w:rFonts w:ascii="Arial" w:hAnsi="Arial" w:cs="Arial"/>
          <w:b/>
          <w:sz w:val="24"/>
        </w:rPr>
        <w:t>2016</w:t>
      </w:r>
      <w:r w:rsidRPr="006D5D2B">
        <w:rPr>
          <w:rFonts w:ascii="Arial" w:hAnsi="Arial" w:cs="Arial"/>
          <w:sz w:val="24"/>
        </w:rPr>
        <w:t xml:space="preserve">, </w:t>
      </w:r>
      <w:r w:rsidRPr="006D5D2B">
        <w:rPr>
          <w:rFonts w:ascii="Arial" w:hAnsi="Arial" w:cs="Arial"/>
          <w:b/>
          <w:sz w:val="24"/>
        </w:rPr>
        <w:t>2015</w:t>
      </w:r>
      <w:r w:rsidRPr="006D5D2B">
        <w:rPr>
          <w:rFonts w:ascii="Arial" w:hAnsi="Arial" w:cs="Arial"/>
          <w:sz w:val="24"/>
        </w:rPr>
        <w:t xml:space="preserve">, </w:t>
      </w:r>
      <w:r w:rsidRPr="006D5D2B">
        <w:rPr>
          <w:rFonts w:ascii="Arial" w:hAnsi="Arial" w:cs="Arial"/>
          <w:b/>
          <w:sz w:val="24"/>
        </w:rPr>
        <w:t>2013,</w:t>
      </w:r>
      <w:r w:rsidRPr="006D5D2B">
        <w:rPr>
          <w:rFonts w:ascii="Arial" w:hAnsi="Arial" w:cs="Arial"/>
          <w:sz w:val="24"/>
        </w:rPr>
        <w:t xml:space="preserve"> </w:t>
      </w:r>
      <w:r w:rsidRPr="006D5D2B">
        <w:rPr>
          <w:rFonts w:ascii="Arial" w:hAnsi="Arial" w:cs="Arial"/>
          <w:b/>
          <w:sz w:val="24"/>
        </w:rPr>
        <w:t>2012</w:t>
      </w:r>
      <w:r w:rsidRPr="006D5D2B">
        <w:rPr>
          <w:rFonts w:ascii="Arial" w:hAnsi="Arial" w:cs="Arial"/>
          <w:sz w:val="24"/>
        </w:rPr>
        <w:t xml:space="preserve">, </w:t>
      </w:r>
      <w:r w:rsidRPr="006D5D2B">
        <w:rPr>
          <w:rFonts w:ascii="Arial" w:hAnsi="Arial" w:cs="Arial"/>
          <w:b/>
          <w:sz w:val="24"/>
        </w:rPr>
        <w:t>2011</w:t>
      </w:r>
      <w:r w:rsidRPr="006D5D2B">
        <w:rPr>
          <w:rFonts w:ascii="Arial" w:hAnsi="Arial" w:cs="Arial"/>
          <w:sz w:val="24"/>
        </w:rPr>
        <w:t xml:space="preserve"> y </w:t>
      </w:r>
      <w:r w:rsidRPr="006D5D2B">
        <w:rPr>
          <w:rFonts w:ascii="Arial" w:hAnsi="Arial" w:cs="Arial"/>
          <w:b/>
          <w:sz w:val="24"/>
        </w:rPr>
        <w:t>2006</w:t>
      </w:r>
      <w:r w:rsidRPr="006D5D2B">
        <w:rPr>
          <w:rFonts w:ascii="Arial" w:hAnsi="Arial" w:cs="Arial"/>
          <w:sz w:val="24"/>
        </w:rPr>
        <w:t xml:space="preserve"> deberán contener la leyenda que dichas unidades deberán ser reparadas en las agencias distribuidoras de la marca de los vehículos.</w:t>
      </w:r>
    </w:p>
    <w:p w14:paraId="09EFC83C" w14:textId="77777777" w:rsidR="006D5D2B" w:rsidRPr="006D5D2B" w:rsidRDefault="006D5D2B" w:rsidP="006D5D2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sz w:val="24"/>
        </w:rPr>
      </w:pPr>
    </w:p>
    <w:p w14:paraId="4EE15A52" w14:textId="3705019E" w:rsidR="006D5D2B" w:rsidRPr="006D5D2B" w:rsidRDefault="006D5D2B" w:rsidP="002630B6">
      <w:pPr>
        <w:pStyle w:val="Prrafodelista"/>
        <w:widowControl w:val="0"/>
        <w:numPr>
          <w:ilvl w:val="0"/>
          <w:numId w:val="45"/>
        </w:numPr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t>Entregar las calcomanías antes señaladas dentro de los 15 días naturales contados a partir del día siguie</w:t>
      </w:r>
      <w:r w:rsidR="00CA60D6">
        <w:rPr>
          <w:rFonts w:ascii="Arial" w:hAnsi="Arial" w:cs="Arial"/>
          <w:sz w:val="24"/>
        </w:rPr>
        <w:t xml:space="preserve">nte </w:t>
      </w:r>
      <w:r w:rsidR="00CA60D6" w:rsidRPr="002E03CD">
        <w:rPr>
          <w:rFonts w:ascii="Arial" w:hAnsi="Arial" w:cs="Arial"/>
          <w:sz w:val="24"/>
        </w:rPr>
        <w:t>al fallo de adjudicación</w:t>
      </w:r>
      <w:r w:rsidR="00CA60D6">
        <w:rPr>
          <w:rFonts w:ascii="Arial" w:hAnsi="Arial" w:cs="Arial"/>
          <w:sz w:val="24"/>
        </w:rPr>
        <w:t xml:space="preserve"> a la Jefatura </w:t>
      </w:r>
      <w:r w:rsidRPr="006D5D2B">
        <w:rPr>
          <w:rFonts w:ascii="Arial" w:hAnsi="Arial" w:cs="Arial"/>
          <w:sz w:val="24"/>
        </w:rPr>
        <w:t xml:space="preserve">de </w:t>
      </w:r>
      <w:r w:rsidR="00CA60D6">
        <w:rPr>
          <w:rFonts w:ascii="Arial" w:hAnsi="Arial" w:cs="Arial"/>
          <w:sz w:val="24"/>
        </w:rPr>
        <w:t>Recursos Materiales</w:t>
      </w:r>
      <w:r w:rsidRPr="006D5D2B">
        <w:rPr>
          <w:rFonts w:ascii="Arial" w:hAnsi="Arial" w:cs="Arial"/>
          <w:sz w:val="24"/>
        </w:rPr>
        <w:t xml:space="preserve"> el cual se encargará de entregar al área responsable del parque vehicular de la ASEJ, para que éstas sean pegadas en el interior de cada vehículo.</w:t>
      </w:r>
    </w:p>
    <w:p w14:paraId="4AB6AB93" w14:textId="0C93D62A" w:rsidR="006D5D2B" w:rsidRPr="006D5D2B" w:rsidRDefault="006D5D2B" w:rsidP="006D5D2B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 w:val="24"/>
        </w:rPr>
      </w:pPr>
    </w:p>
    <w:p w14:paraId="3B3F760A" w14:textId="476EB111" w:rsidR="00ED28B0" w:rsidRPr="002630B6" w:rsidRDefault="006D5D2B" w:rsidP="002630B6">
      <w:pPr>
        <w:pStyle w:val="Prrafodelista"/>
        <w:widowControl w:val="0"/>
        <w:numPr>
          <w:ilvl w:val="0"/>
          <w:numId w:val="45"/>
        </w:numPr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contextualSpacing/>
        <w:jc w:val="both"/>
        <w:rPr>
          <w:rFonts w:ascii="Arial" w:hAnsi="Arial" w:cs="Arial"/>
          <w:sz w:val="24"/>
        </w:rPr>
      </w:pPr>
      <w:r w:rsidRPr="006D5D2B">
        <w:rPr>
          <w:rFonts w:ascii="Arial" w:hAnsi="Arial" w:cs="Arial"/>
          <w:sz w:val="24"/>
        </w:rPr>
        <w:lastRenderedPageBreak/>
        <w:t>Entregar reportes de siniestralidad y soporte de los mismos a más tardar de</w:t>
      </w:r>
      <w:r w:rsidR="00CA60D6">
        <w:rPr>
          <w:rFonts w:ascii="Arial" w:hAnsi="Arial" w:cs="Arial"/>
          <w:sz w:val="24"/>
        </w:rPr>
        <w:t>ntro de los diez primeros días naturales</w:t>
      </w:r>
      <w:r w:rsidRPr="006D5D2B">
        <w:rPr>
          <w:rFonts w:ascii="Arial" w:hAnsi="Arial" w:cs="Arial"/>
          <w:sz w:val="24"/>
        </w:rPr>
        <w:t xml:space="preserve"> de cada mes, por escrito y firmado por el representante de la misma en papel oficial de la compañía aseguradora; estos deberán ser entregados a la Dirección General de Administración de la Auditoría Superior del Estado de Jalisco en los que se contenga la siguiente información: número de placa, número de póliza, inciso afectado, número de siniestro, dependencia que corresponda, fecha y hora de siniestro, lugar del siniestro, riesgo afectado, monto estimado y monto pagado y si está pendiente o finiquitado, de proceder el monto del deducible, de lo contrario la compañía de seguros pagará al asegurado la cantidad de $1,000.00 por cada día de retraso, los cuales serán descontados de las primas correspondientes.</w:t>
      </w:r>
    </w:p>
    <w:p w14:paraId="410B9FD5" w14:textId="77777777" w:rsidR="006D5D2B" w:rsidRPr="00494A98" w:rsidRDefault="006D5D2B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</w:p>
    <w:p w14:paraId="33813B8A" w14:textId="109C8D09" w:rsidR="00E6096D" w:rsidRPr="0000627B" w:rsidRDefault="00ED28B0" w:rsidP="003F3B88">
      <w:pPr>
        <w:spacing w:before="100" w:after="200" w:line="276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>
        <w:rPr>
          <w:rFonts w:ascii="Arial" w:hAnsi="Arial" w:cs="Arial"/>
          <w:b/>
          <w:sz w:val="24"/>
          <w:szCs w:val="24"/>
          <w:u w:val="single"/>
          <w:lang w:val="es-MX" w:eastAsia="en-US"/>
        </w:rPr>
        <w:t>6</w:t>
      </w:r>
      <w:r w:rsidR="0000627B" w:rsidRPr="0000627B">
        <w:rPr>
          <w:rFonts w:ascii="Arial" w:hAnsi="Arial" w:cs="Arial"/>
          <w:b/>
          <w:sz w:val="24"/>
          <w:szCs w:val="24"/>
          <w:u w:val="single"/>
          <w:lang w:val="es-MX" w:eastAsia="en-US"/>
        </w:rPr>
        <w:t>.- TIEMPO DE ENTREGA</w:t>
      </w:r>
      <w:r w:rsidR="0000627B" w:rsidRPr="0000627B">
        <w:rPr>
          <w:rFonts w:ascii="Arial" w:hAnsi="Arial" w:cs="Arial"/>
          <w:sz w:val="24"/>
          <w:szCs w:val="24"/>
          <w:u w:val="single"/>
          <w:lang w:val="es-MX" w:eastAsia="en-US"/>
        </w:rPr>
        <w:t>:</w:t>
      </w:r>
      <w:r w:rsidR="0000627B" w:rsidRPr="0000627B">
        <w:rPr>
          <w:rFonts w:ascii="Arial" w:hAnsi="Arial" w:cs="Arial"/>
          <w:sz w:val="24"/>
          <w:szCs w:val="24"/>
          <w:lang w:val="es-MX" w:eastAsia="en-US"/>
        </w:rPr>
        <w:t xml:space="preserve"> </w:t>
      </w:r>
    </w:p>
    <w:p w14:paraId="12B5399C" w14:textId="198D38B4" w:rsidR="0000627B" w:rsidRPr="002630B6" w:rsidRDefault="0000627B" w:rsidP="002630B6">
      <w:pPr>
        <w:pStyle w:val="Prrafodelista"/>
        <w:numPr>
          <w:ilvl w:val="0"/>
          <w:numId w:val="46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2630B6">
        <w:rPr>
          <w:rFonts w:ascii="Arial" w:hAnsi="Arial" w:cs="Arial"/>
          <w:b/>
          <w:sz w:val="24"/>
          <w:szCs w:val="24"/>
        </w:rPr>
        <w:t>Duración del servicio</w:t>
      </w:r>
      <w:r w:rsidRPr="002630B6">
        <w:rPr>
          <w:rFonts w:ascii="Arial" w:hAnsi="Arial" w:cs="Arial"/>
          <w:sz w:val="24"/>
          <w:szCs w:val="24"/>
        </w:rPr>
        <w:t>:</w:t>
      </w:r>
      <w:r w:rsidR="00ED28B0" w:rsidRPr="002630B6">
        <w:rPr>
          <w:rFonts w:ascii="Arial" w:hAnsi="Arial" w:cs="Arial"/>
          <w:sz w:val="24"/>
          <w:szCs w:val="24"/>
        </w:rPr>
        <w:t xml:space="preserve"> doce</w:t>
      </w:r>
      <w:r w:rsidRPr="002630B6">
        <w:rPr>
          <w:rFonts w:ascii="Arial" w:hAnsi="Arial" w:cs="Arial"/>
          <w:sz w:val="24"/>
          <w:szCs w:val="24"/>
        </w:rPr>
        <w:t xml:space="preserve"> meses.</w:t>
      </w:r>
    </w:p>
    <w:p w14:paraId="530079EF" w14:textId="14A9E73F" w:rsidR="0000627B" w:rsidRPr="002E03CD" w:rsidRDefault="00BD08F1" w:rsidP="002630B6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2630B6">
        <w:rPr>
          <w:rFonts w:ascii="Arial" w:hAnsi="Arial" w:cs="Arial"/>
          <w:b/>
          <w:sz w:val="24"/>
          <w:szCs w:val="24"/>
        </w:rPr>
        <w:t>Inicio del Servicio</w:t>
      </w:r>
      <w:r w:rsidR="0000627B" w:rsidRPr="002630B6">
        <w:rPr>
          <w:rFonts w:ascii="Arial" w:hAnsi="Arial" w:cs="Arial"/>
          <w:b/>
          <w:sz w:val="24"/>
          <w:szCs w:val="24"/>
        </w:rPr>
        <w:t xml:space="preserve">: </w:t>
      </w:r>
      <w:r w:rsidR="00ED28B0" w:rsidRPr="002630B6">
        <w:rPr>
          <w:rFonts w:ascii="Arial" w:hAnsi="Arial" w:cs="Arial"/>
          <w:sz w:val="24"/>
          <w:szCs w:val="24"/>
        </w:rPr>
        <w:t xml:space="preserve">El inicio de la vigencia de la cobertura de la póliza de seguro de cobertura amplia con deducible </w:t>
      </w:r>
      <w:r w:rsidR="002D3BF9">
        <w:rPr>
          <w:rFonts w:ascii="Arial" w:hAnsi="Arial" w:cs="Arial"/>
          <w:sz w:val="24"/>
          <w:szCs w:val="24"/>
        </w:rPr>
        <w:t>a</w:t>
      </w:r>
      <w:r w:rsidR="00ED28B0" w:rsidRPr="002630B6">
        <w:rPr>
          <w:rFonts w:ascii="Arial" w:hAnsi="Arial" w:cs="Arial"/>
          <w:sz w:val="24"/>
          <w:szCs w:val="24"/>
        </w:rPr>
        <w:t xml:space="preserve">uto administrado para la flotilla de 64 vehículos que integran el parque vehicular de la </w:t>
      </w:r>
      <w:r w:rsidR="00CA60D6">
        <w:rPr>
          <w:rFonts w:ascii="Arial" w:hAnsi="Arial" w:cs="Arial"/>
          <w:sz w:val="24"/>
          <w:szCs w:val="24"/>
        </w:rPr>
        <w:t>Auditoría Superior del Estado de Jalisco</w:t>
      </w:r>
      <w:r w:rsidR="00ED28B0" w:rsidRPr="002630B6">
        <w:rPr>
          <w:rFonts w:ascii="Arial" w:hAnsi="Arial" w:cs="Arial"/>
          <w:sz w:val="24"/>
          <w:szCs w:val="24"/>
        </w:rPr>
        <w:t xml:space="preserve"> por un periodo de doce meses </w:t>
      </w:r>
      <w:r w:rsidR="00ED28B0" w:rsidRPr="002630B6">
        <w:rPr>
          <w:rFonts w:ascii="Arial" w:hAnsi="Arial" w:cs="Arial"/>
          <w:b/>
          <w:sz w:val="24"/>
          <w:szCs w:val="24"/>
          <w:u w:val="single"/>
        </w:rPr>
        <w:t>deberá dar inicio, a más tardar a partir de las 12:00 horas locales del 31 de enero de dos mil veintitrés y hasta las 12:00 horas locales del 31 de enero de dos mil veinticuatro</w:t>
      </w:r>
      <w:r w:rsidR="00ED28B0" w:rsidRPr="002630B6">
        <w:rPr>
          <w:rFonts w:ascii="Arial" w:hAnsi="Arial" w:cs="Arial"/>
          <w:sz w:val="24"/>
          <w:szCs w:val="24"/>
        </w:rPr>
        <w:t>, posterior a la publicación del dictamen de fallo correspondiente, previa entrega de la orden de compra</w:t>
      </w:r>
      <w:r w:rsidR="00ED28B0" w:rsidRPr="002E03CD">
        <w:rPr>
          <w:rFonts w:ascii="Arial" w:hAnsi="Arial" w:cs="Arial"/>
          <w:sz w:val="24"/>
          <w:szCs w:val="24"/>
        </w:rPr>
        <w:t xml:space="preserve">, </w:t>
      </w:r>
      <w:r w:rsidR="0000627B" w:rsidRPr="002E03CD">
        <w:rPr>
          <w:rFonts w:ascii="Arial" w:hAnsi="Arial" w:cs="Arial"/>
          <w:sz w:val="24"/>
          <w:szCs w:val="24"/>
        </w:rPr>
        <w:t xml:space="preserve">según lo especificado en el </w:t>
      </w:r>
      <w:r w:rsidR="00ED28B0" w:rsidRPr="002E03CD">
        <w:rPr>
          <w:rFonts w:ascii="Arial" w:hAnsi="Arial" w:cs="Arial"/>
          <w:sz w:val="24"/>
          <w:szCs w:val="24"/>
        </w:rPr>
        <w:t>punto 14</w:t>
      </w:r>
      <w:r w:rsidR="00360FAB" w:rsidRPr="002E03CD">
        <w:rPr>
          <w:rFonts w:ascii="Arial" w:hAnsi="Arial" w:cs="Arial"/>
          <w:sz w:val="24"/>
          <w:szCs w:val="24"/>
        </w:rPr>
        <w:t>.</w:t>
      </w:r>
      <w:r w:rsidR="00ED28B0" w:rsidRPr="002E03CD">
        <w:rPr>
          <w:rFonts w:ascii="Arial" w:hAnsi="Arial" w:cs="Arial"/>
          <w:sz w:val="24"/>
          <w:szCs w:val="24"/>
        </w:rPr>
        <w:t>1.</w:t>
      </w:r>
      <w:r w:rsidR="00360FAB" w:rsidRPr="002E03CD">
        <w:rPr>
          <w:rFonts w:ascii="Arial" w:hAnsi="Arial" w:cs="Arial"/>
          <w:sz w:val="24"/>
          <w:szCs w:val="24"/>
        </w:rPr>
        <w:t xml:space="preserve"> </w:t>
      </w:r>
      <w:r w:rsidR="00ED28B0" w:rsidRPr="002E03CD">
        <w:rPr>
          <w:rFonts w:ascii="Arial" w:hAnsi="Arial" w:cs="Arial"/>
          <w:sz w:val="24"/>
          <w:szCs w:val="24"/>
        </w:rPr>
        <w:t>Inicio del Servicio, de las Bases de la Convocatoria</w:t>
      </w:r>
      <w:r w:rsidR="00360FAB" w:rsidRPr="002E03CD">
        <w:rPr>
          <w:rFonts w:ascii="Arial" w:hAnsi="Arial" w:cs="Arial"/>
          <w:sz w:val="24"/>
          <w:szCs w:val="24"/>
        </w:rPr>
        <w:t>.</w:t>
      </w:r>
    </w:p>
    <w:p w14:paraId="1C1A593B" w14:textId="62532B9D" w:rsidR="0000627B" w:rsidRPr="002E03CD" w:rsidRDefault="0000627B" w:rsidP="002630B6">
      <w:pPr>
        <w:pStyle w:val="Prrafodelista"/>
        <w:numPr>
          <w:ilvl w:val="0"/>
          <w:numId w:val="46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2E03CD">
        <w:rPr>
          <w:rFonts w:ascii="Arial" w:hAnsi="Arial" w:cs="Arial"/>
          <w:b/>
          <w:sz w:val="24"/>
          <w:szCs w:val="24"/>
        </w:rPr>
        <w:t>Fecha de inicio:</w:t>
      </w:r>
      <w:r w:rsidRPr="002E03CD">
        <w:rPr>
          <w:rFonts w:ascii="Arial" w:hAnsi="Arial" w:cs="Arial"/>
          <w:sz w:val="24"/>
          <w:szCs w:val="24"/>
        </w:rPr>
        <w:t xml:space="preserve"> </w:t>
      </w:r>
      <w:r w:rsidR="00ED28B0" w:rsidRPr="002E03CD">
        <w:rPr>
          <w:rFonts w:ascii="Arial" w:hAnsi="Arial" w:cs="Arial"/>
          <w:sz w:val="24"/>
          <w:szCs w:val="24"/>
        </w:rPr>
        <w:t xml:space="preserve">12:00 horas locales del 31 de </w:t>
      </w:r>
      <w:r w:rsidRPr="002E03CD">
        <w:rPr>
          <w:rFonts w:ascii="Arial" w:hAnsi="Arial" w:cs="Arial"/>
          <w:sz w:val="24"/>
          <w:szCs w:val="24"/>
        </w:rPr>
        <w:t xml:space="preserve">enero del </w:t>
      </w:r>
      <w:r w:rsidR="00ED28B0" w:rsidRPr="002E03CD">
        <w:rPr>
          <w:rFonts w:ascii="Arial" w:hAnsi="Arial" w:cs="Arial"/>
          <w:sz w:val="24"/>
          <w:szCs w:val="24"/>
        </w:rPr>
        <w:t>veintitrés</w:t>
      </w:r>
    </w:p>
    <w:p w14:paraId="5452B278" w14:textId="38A56062" w:rsidR="0000627B" w:rsidRPr="002E03CD" w:rsidRDefault="0000627B" w:rsidP="002630B6">
      <w:pPr>
        <w:pStyle w:val="Prrafodelista"/>
        <w:numPr>
          <w:ilvl w:val="0"/>
          <w:numId w:val="46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2E03CD">
        <w:rPr>
          <w:rFonts w:ascii="Arial" w:hAnsi="Arial" w:cs="Arial"/>
          <w:b/>
          <w:sz w:val="24"/>
          <w:szCs w:val="24"/>
        </w:rPr>
        <w:t>fecha de terminación:</w:t>
      </w:r>
      <w:r w:rsidRPr="002E03CD">
        <w:rPr>
          <w:rFonts w:ascii="Arial" w:hAnsi="Arial" w:cs="Arial"/>
          <w:sz w:val="24"/>
          <w:szCs w:val="24"/>
        </w:rPr>
        <w:t xml:space="preserve"> </w:t>
      </w:r>
      <w:r w:rsidR="00ED28B0" w:rsidRPr="002E03CD">
        <w:rPr>
          <w:rFonts w:ascii="Arial" w:hAnsi="Arial" w:cs="Arial"/>
          <w:sz w:val="24"/>
          <w:szCs w:val="24"/>
        </w:rPr>
        <w:t>12:00 horas locales del 31 de enero del dos mil veinticuatro</w:t>
      </w:r>
      <w:r w:rsidRPr="002E03CD">
        <w:rPr>
          <w:rFonts w:ascii="Arial" w:hAnsi="Arial" w:cs="Arial"/>
          <w:sz w:val="24"/>
          <w:szCs w:val="24"/>
        </w:rPr>
        <w:t>.</w:t>
      </w:r>
    </w:p>
    <w:p w14:paraId="27B059D0" w14:textId="5AEB99CE" w:rsidR="0000627B" w:rsidRPr="002E03CD" w:rsidRDefault="0000627B" w:rsidP="002630B6">
      <w:pPr>
        <w:pStyle w:val="Prrafodelista"/>
        <w:numPr>
          <w:ilvl w:val="0"/>
          <w:numId w:val="46"/>
        </w:num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E03CD">
        <w:rPr>
          <w:rFonts w:ascii="Arial" w:hAnsi="Arial" w:cs="Arial"/>
          <w:b/>
          <w:sz w:val="24"/>
          <w:szCs w:val="24"/>
        </w:rPr>
        <w:t xml:space="preserve">Lugar de entrega: </w:t>
      </w:r>
      <w:r w:rsidR="00ED28B0" w:rsidRPr="002E03CD">
        <w:rPr>
          <w:rFonts w:ascii="Arial" w:hAnsi="Arial" w:cs="Arial"/>
          <w:sz w:val="24"/>
          <w:szCs w:val="24"/>
        </w:rPr>
        <w:t>La entrega de la póliza de seguro (incisos) deberá realizarse a partir de la emisión del dictamen de fallo correspondiente, a más tardar a las 12:00 horas locales del 31 de enero de dos mil veintitrés en el domicilio oficial de la Convocante ubicado en la avenida Niñ</w:t>
      </w:r>
      <w:r w:rsidR="00CA60D6" w:rsidRPr="002E03CD">
        <w:rPr>
          <w:rFonts w:ascii="Arial" w:hAnsi="Arial" w:cs="Arial"/>
          <w:sz w:val="24"/>
          <w:szCs w:val="24"/>
        </w:rPr>
        <w:t>os Héroes número 2409, colonia M</w:t>
      </w:r>
      <w:r w:rsidR="00ED28B0" w:rsidRPr="002E03CD">
        <w:rPr>
          <w:rFonts w:ascii="Arial" w:hAnsi="Arial" w:cs="Arial"/>
          <w:sz w:val="24"/>
          <w:szCs w:val="24"/>
        </w:rPr>
        <w:t>oderna, C. P. 44190, según lo especificado en el punto 14. LUGAR DE ENTREGA, de las Bases de la Convocatoria.</w:t>
      </w:r>
    </w:p>
    <w:p w14:paraId="6BB2335C" w14:textId="77777777" w:rsidR="00360FAB" w:rsidRPr="0000627B" w:rsidRDefault="00360FAB" w:rsidP="0000627B">
      <w:p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FDB9F3" w14:textId="7D55C03D" w:rsidR="003F3B88" w:rsidRPr="0000627B" w:rsidRDefault="00ED28B0" w:rsidP="003F3B88">
      <w:pPr>
        <w:spacing w:before="100" w:after="200" w:line="276" w:lineRule="auto"/>
        <w:jc w:val="both"/>
        <w:rPr>
          <w:rFonts w:ascii="Arial" w:hAnsi="Arial" w:cs="Arial"/>
          <w:b/>
          <w:sz w:val="24"/>
          <w:szCs w:val="20"/>
          <w:u w:val="single"/>
          <w:lang w:val="es-MX" w:eastAsia="en-US"/>
        </w:rPr>
      </w:pPr>
      <w:r>
        <w:rPr>
          <w:rFonts w:ascii="Arial" w:hAnsi="Arial" w:cs="Arial"/>
          <w:b/>
          <w:sz w:val="24"/>
          <w:szCs w:val="20"/>
          <w:u w:val="single"/>
          <w:lang w:val="es-MX" w:eastAsia="en-US"/>
        </w:rPr>
        <w:t>7</w:t>
      </w:r>
      <w:r w:rsidR="003F3B88" w:rsidRPr="0000627B">
        <w:rPr>
          <w:rFonts w:ascii="Arial" w:hAnsi="Arial" w:cs="Arial"/>
          <w:b/>
          <w:sz w:val="24"/>
          <w:szCs w:val="20"/>
          <w:u w:val="single"/>
          <w:lang w:val="es-MX" w:eastAsia="en-US"/>
        </w:rPr>
        <w:t>.- GARANTÍAS:</w:t>
      </w:r>
    </w:p>
    <w:p w14:paraId="2F098EC2" w14:textId="13668321" w:rsidR="00ED28B0" w:rsidRPr="002630B6" w:rsidRDefault="00ED28B0" w:rsidP="00ED28B0">
      <w:pPr>
        <w:pStyle w:val="Prrafodelista"/>
        <w:numPr>
          <w:ilvl w:val="0"/>
          <w:numId w:val="41"/>
        </w:numPr>
        <w:spacing w:before="40" w:after="40" w:line="240" w:lineRule="auto"/>
        <w:contextualSpacing/>
        <w:jc w:val="both"/>
        <w:rPr>
          <w:rFonts w:ascii="Arial" w:hAnsi="Arial" w:cs="Arial"/>
          <w:kern w:val="20"/>
          <w:sz w:val="24"/>
          <w:szCs w:val="24"/>
          <w:lang w:val="es-ES_tradnl"/>
        </w:rPr>
      </w:pPr>
      <w:r w:rsidRPr="002630B6">
        <w:rPr>
          <w:rFonts w:ascii="Arial" w:hAnsi="Arial" w:cs="Arial"/>
          <w:sz w:val="24"/>
          <w:szCs w:val="24"/>
        </w:rPr>
        <w:t xml:space="preserve">El licitante deberá entregar por escrito en hoja membretada carta compromiso donde se mencione que se entregará un reporte mensual de la siniestralidad con la información solicitada en el </w:t>
      </w:r>
      <w:r w:rsidR="00462B1A">
        <w:rPr>
          <w:rFonts w:ascii="Arial" w:hAnsi="Arial" w:cs="Arial"/>
          <w:sz w:val="24"/>
          <w:szCs w:val="24"/>
        </w:rPr>
        <w:t xml:space="preserve">inciso e), numeral 5.-CONDICIONES DE SERVICIO del </w:t>
      </w:r>
      <w:r w:rsidRPr="002630B6">
        <w:rPr>
          <w:rFonts w:ascii="Arial" w:hAnsi="Arial" w:cs="Arial"/>
          <w:b/>
          <w:sz w:val="24"/>
          <w:szCs w:val="24"/>
        </w:rPr>
        <w:t>Anexo 2 “Especificaciones Técnicas”</w:t>
      </w:r>
      <w:r w:rsidRPr="002630B6">
        <w:rPr>
          <w:rFonts w:ascii="Arial" w:hAnsi="Arial" w:cs="Arial"/>
          <w:sz w:val="24"/>
          <w:szCs w:val="24"/>
        </w:rPr>
        <w:t xml:space="preserve">, así como responder por los defectos, vicios ocultos y deficiencias en la calidad de su servicio, </w:t>
      </w:r>
      <w:r w:rsidRPr="00462B1A">
        <w:rPr>
          <w:rFonts w:ascii="Arial" w:hAnsi="Arial" w:cs="Arial"/>
          <w:sz w:val="24"/>
          <w:szCs w:val="24"/>
        </w:rPr>
        <w:t>además de cualquier otra responsabilidad en que hubiere incurrido el personal a su cargo,</w:t>
      </w:r>
      <w:r w:rsidRPr="002630B6">
        <w:rPr>
          <w:rFonts w:ascii="Arial" w:hAnsi="Arial" w:cs="Arial"/>
          <w:sz w:val="24"/>
          <w:szCs w:val="24"/>
        </w:rPr>
        <w:t xml:space="preserve"> y </w:t>
      </w:r>
      <w:r w:rsidRPr="002630B6">
        <w:rPr>
          <w:rFonts w:ascii="Arial" w:hAnsi="Arial" w:cs="Arial"/>
          <w:kern w:val="20"/>
          <w:sz w:val="24"/>
          <w:szCs w:val="24"/>
          <w:lang w:val="es-ES_tradnl"/>
        </w:rPr>
        <w:t>se deberá adjuntar al Anexo 1: Propuesta Económica.</w:t>
      </w:r>
    </w:p>
    <w:p w14:paraId="1D1E3CE9" w14:textId="77777777" w:rsidR="0000627B" w:rsidRPr="0000627B" w:rsidRDefault="0000627B" w:rsidP="0000627B">
      <w:pPr>
        <w:pStyle w:val="Prrafodelista"/>
        <w:spacing w:after="0" w:line="240" w:lineRule="auto"/>
        <w:ind w:left="720"/>
        <w:jc w:val="both"/>
        <w:rPr>
          <w:rFonts w:ascii="Arial" w:hAnsi="Arial" w:cs="Arial"/>
          <w:sz w:val="24"/>
          <w:szCs w:val="20"/>
          <w:lang w:eastAsia="en-US"/>
        </w:rPr>
      </w:pPr>
    </w:p>
    <w:p w14:paraId="3A1E2FB1" w14:textId="40C30619" w:rsidR="0000627B" w:rsidRPr="002630B6" w:rsidRDefault="00265D55" w:rsidP="002630B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  <w:r w:rsidRPr="002630B6">
        <w:rPr>
          <w:rFonts w:ascii="Arial" w:eastAsia="Arial" w:hAnsi="Arial" w:cs="Arial"/>
          <w:color w:val="000000"/>
          <w:sz w:val="24"/>
        </w:rPr>
        <w:t xml:space="preserve">El </w:t>
      </w:r>
      <w:r w:rsidR="000360B1" w:rsidRPr="002630B6">
        <w:rPr>
          <w:rFonts w:ascii="Arial" w:eastAsia="Arial" w:hAnsi="Arial" w:cs="Arial"/>
          <w:color w:val="000000"/>
          <w:sz w:val="24"/>
        </w:rPr>
        <w:t>licitante</w:t>
      </w:r>
      <w:r w:rsidRPr="002630B6">
        <w:rPr>
          <w:rFonts w:ascii="Arial" w:eastAsia="Arial" w:hAnsi="Arial" w:cs="Arial"/>
          <w:color w:val="000000"/>
          <w:sz w:val="24"/>
        </w:rPr>
        <w:t xml:space="preserve"> </w:t>
      </w:r>
      <w:r w:rsidRPr="002630B6">
        <w:rPr>
          <w:rFonts w:ascii="Arial" w:eastAsia="Arial" w:hAnsi="Arial" w:cs="Arial"/>
          <w:b/>
          <w:color w:val="000000"/>
          <w:sz w:val="24"/>
          <w:u w:val="single"/>
        </w:rPr>
        <w:t>adjudicado</w:t>
      </w:r>
      <w:r w:rsidRPr="002630B6">
        <w:rPr>
          <w:rFonts w:ascii="Arial" w:eastAsia="Arial" w:hAnsi="Arial" w:cs="Arial"/>
          <w:color w:val="000000"/>
          <w:sz w:val="24"/>
        </w:rPr>
        <w:t xml:space="preserve"> deberá presentar</w:t>
      </w:r>
      <w:r w:rsidR="0000627B" w:rsidRPr="002630B6">
        <w:rPr>
          <w:rFonts w:ascii="Arial" w:eastAsia="Arial" w:hAnsi="Arial" w:cs="Arial"/>
          <w:color w:val="000000"/>
          <w:sz w:val="24"/>
        </w:rPr>
        <w:t>:</w:t>
      </w:r>
      <w:r w:rsidRPr="002630B6">
        <w:rPr>
          <w:rFonts w:ascii="Arial" w:eastAsia="Arial" w:hAnsi="Arial" w:cs="Arial"/>
          <w:color w:val="000000"/>
          <w:sz w:val="24"/>
        </w:rPr>
        <w:t xml:space="preserve"> </w:t>
      </w:r>
    </w:p>
    <w:p w14:paraId="637AD109" w14:textId="6B3A1D0E" w:rsidR="0000627B" w:rsidRPr="0000627B" w:rsidRDefault="0000627B" w:rsidP="0000627B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</w:p>
    <w:p w14:paraId="58040246" w14:textId="1F491125" w:rsidR="00E757BE" w:rsidRPr="0000627B" w:rsidRDefault="00265D55" w:rsidP="0000627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  <w:r w:rsidRPr="0000627B">
        <w:rPr>
          <w:rFonts w:ascii="Arial" w:eastAsia="Arial" w:hAnsi="Arial" w:cs="Arial"/>
          <w:color w:val="000000"/>
          <w:sz w:val="24"/>
        </w:rPr>
        <w:t xml:space="preserve">Fianza de </w:t>
      </w:r>
      <w:r w:rsidR="0021578C" w:rsidRPr="0000627B">
        <w:rPr>
          <w:rFonts w:ascii="Arial" w:eastAsia="Arial" w:hAnsi="Arial" w:cs="Arial"/>
          <w:color w:val="000000"/>
          <w:sz w:val="24"/>
        </w:rPr>
        <w:t>cumplim</w:t>
      </w:r>
      <w:r w:rsidR="000360B1" w:rsidRPr="0000627B">
        <w:rPr>
          <w:rFonts w:ascii="Arial" w:eastAsia="Arial" w:hAnsi="Arial" w:cs="Arial"/>
          <w:color w:val="000000"/>
          <w:sz w:val="24"/>
        </w:rPr>
        <w:t>iento, descrita en el punto 13.2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Garantías </w:t>
      </w:r>
      <w:r w:rsidR="00462B1A">
        <w:rPr>
          <w:rFonts w:ascii="Arial" w:eastAsia="Arial" w:hAnsi="Arial" w:cs="Arial"/>
          <w:color w:val="000000"/>
          <w:sz w:val="24"/>
        </w:rPr>
        <w:t>de las B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ases de </w:t>
      </w:r>
      <w:r w:rsidR="000360B1" w:rsidRPr="0000627B">
        <w:rPr>
          <w:rFonts w:ascii="Arial" w:eastAsia="Arial" w:hAnsi="Arial" w:cs="Arial"/>
          <w:color w:val="000000"/>
          <w:sz w:val="24"/>
        </w:rPr>
        <w:t>la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Convocatoria p</w:t>
      </w:r>
      <w:r w:rsidRPr="0000627B">
        <w:rPr>
          <w:rFonts w:ascii="Arial" w:eastAsia="Arial" w:hAnsi="Arial" w:cs="Arial"/>
          <w:color w:val="000000"/>
          <w:sz w:val="24"/>
        </w:rPr>
        <w:t>or un monto del 10% del valor total de lo adjudicado,</w:t>
      </w:r>
      <w:r w:rsidR="00965384" w:rsidRPr="0000627B">
        <w:rPr>
          <w:rFonts w:ascii="Arial" w:eastAsia="Arial" w:hAnsi="Arial" w:cs="Arial"/>
          <w:color w:val="000000"/>
          <w:sz w:val="24"/>
        </w:rPr>
        <w:t xml:space="preserve"> sin </w:t>
      </w:r>
      <w:r w:rsidR="000360B1" w:rsidRPr="0000627B">
        <w:rPr>
          <w:rFonts w:ascii="Arial" w:eastAsia="Arial" w:hAnsi="Arial" w:cs="Arial"/>
          <w:color w:val="000000"/>
          <w:sz w:val="24"/>
        </w:rPr>
        <w:t>incluir impuestos</w:t>
      </w:r>
      <w:r w:rsidR="00965384" w:rsidRPr="0000627B">
        <w:rPr>
          <w:rFonts w:ascii="Arial" w:eastAsia="Arial" w:hAnsi="Arial" w:cs="Arial"/>
          <w:color w:val="000000"/>
          <w:sz w:val="24"/>
        </w:rPr>
        <w:t>,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 de acuerdo a la</w:t>
      </w:r>
      <w:r w:rsidRPr="0000627B">
        <w:rPr>
          <w:rFonts w:ascii="Arial" w:eastAsia="Arial" w:hAnsi="Arial" w:cs="Arial"/>
          <w:color w:val="000000"/>
          <w:sz w:val="24"/>
        </w:rPr>
        <w:t xml:space="preserve"> propuesta económica presentada, así mismo, dicha fianza deberá tener una vigencia por </w:t>
      </w:r>
      <w:r w:rsidR="0000627B" w:rsidRPr="0000627B">
        <w:rPr>
          <w:rFonts w:ascii="Arial" w:eastAsia="Arial" w:hAnsi="Arial" w:cs="Arial"/>
          <w:color w:val="000000"/>
          <w:sz w:val="24"/>
        </w:rPr>
        <w:t>doce</w:t>
      </w:r>
      <w:r w:rsidRPr="0000627B">
        <w:rPr>
          <w:rFonts w:ascii="Arial" w:eastAsia="Arial" w:hAnsi="Arial" w:cs="Arial"/>
          <w:color w:val="000000"/>
          <w:sz w:val="24"/>
        </w:rPr>
        <w:t xml:space="preserve"> meses a partir de la fecha de </w:t>
      </w:r>
      <w:r w:rsidR="002E03CD">
        <w:rPr>
          <w:rFonts w:ascii="Arial" w:eastAsia="Arial" w:hAnsi="Arial" w:cs="Arial"/>
          <w:color w:val="000000"/>
          <w:sz w:val="24"/>
        </w:rPr>
        <w:t>vigencia de la póliza</w:t>
      </w:r>
      <w:r w:rsidR="00216FD4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>y hasta el cumplimiento de todas y cada una de sus obligaciones asumidas mediante las Bases, Anexos y el contrato respectivo.</w:t>
      </w:r>
    </w:p>
    <w:p w14:paraId="68546CD5" w14:textId="40F7957D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77D691E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0360B1">
        <w:rPr>
          <w:rFonts w:ascii="Arial" w:eastAsiaTheme="minorHAnsi" w:hAnsi="Arial" w:cs="Arial"/>
          <w:sz w:val="24"/>
          <w:szCs w:val="24"/>
          <w:lang w:eastAsia="en-US"/>
        </w:rPr>
        <w:t>adalajara, Jalisco, ____ de 2023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4201"/>
    <w:multiLevelType w:val="hybridMultilevel"/>
    <w:tmpl w:val="CA0E03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F3844"/>
    <w:multiLevelType w:val="hybridMultilevel"/>
    <w:tmpl w:val="A072E1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3E5E"/>
    <w:multiLevelType w:val="hybridMultilevel"/>
    <w:tmpl w:val="ACEC7E7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363F4"/>
    <w:multiLevelType w:val="hybridMultilevel"/>
    <w:tmpl w:val="1C74E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549A2"/>
    <w:multiLevelType w:val="hybridMultilevel"/>
    <w:tmpl w:val="FC6456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0531812"/>
    <w:multiLevelType w:val="hybridMultilevel"/>
    <w:tmpl w:val="A606D2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71BFF"/>
    <w:multiLevelType w:val="hybridMultilevel"/>
    <w:tmpl w:val="669026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309B0"/>
    <w:multiLevelType w:val="hybridMultilevel"/>
    <w:tmpl w:val="9C18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D314A7"/>
    <w:multiLevelType w:val="hybridMultilevel"/>
    <w:tmpl w:val="11761E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A479F7"/>
    <w:multiLevelType w:val="hybridMultilevel"/>
    <w:tmpl w:val="BB60EE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D2A59"/>
    <w:multiLevelType w:val="hybridMultilevel"/>
    <w:tmpl w:val="8DDCAE9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05AAE"/>
    <w:multiLevelType w:val="hybridMultilevel"/>
    <w:tmpl w:val="131432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FC00624"/>
    <w:multiLevelType w:val="hybridMultilevel"/>
    <w:tmpl w:val="82C40A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35" w15:restartNumberingAfterBreak="0">
    <w:nsid w:val="6669254B"/>
    <w:multiLevelType w:val="hybridMultilevel"/>
    <w:tmpl w:val="C8D418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922B1"/>
    <w:multiLevelType w:val="hybridMultilevel"/>
    <w:tmpl w:val="1C1E17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2D7F"/>
    <w:multiLevelType w:val="hybridMultilevel"/>
    <w:tmpl w:val="49C8D4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5C5E82"/>
    <w:multiLevelType w:val="hybridMultilevel"/>
    <w:tmpl w:val="F2FEA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39"/>
  </w:num>
  <w:num w:numId="3">
    <w:abstractNumId w:val="26"/>
  </w:num>
  <w:num w:numId="4">
    <w:abstractNumId w:val="40"/>
  </w:num>
  <w:num w:numId="5">
    <w:abstractNumId w:val="27"/>
  </w:num>
  <w:num w:numId="6">
    <w:abstractNumId w:val="9"/>
  </w:num>
  <w:num w:numId="7">
    <w:abstractNumId w:val="28"/>
  </w:num>
  <w:num w:numId="8">
    <w:abstractNumId w:val="6"/>
  </w:num>
  <w:num w:numId="9">
    <w:abstractNumId w:val="45"/>
  </w:num>
  <w:num w:numId="10">
    <w:abstractNumId w:val="34"/>
  </w:num>
  <w:num w:numId="11">
    <w:abstractNumId w:val="13"/>
  </w:num>
  <w:num w:numId="12">
    <w:abstractNumId w:val="30"/>
  </w:num>
  <w:num w:numId="13">
    <w:abstractNumId w:val="15"/>
  </w:num>
  <w:num w:numId="14">
    <w:abstractNumId w:val="33"/>
  </w:num>
  <w:num w:numId="15">
    <w:abstractNumId w:val="14"/>
  </w:num>
  <w:num w:numId="16">
    <w:abstractNumId w:val="29"/>
  </w:num>
  <w:num w:numId="17">
    <w:abstractNumId w:val="0"/>
  </w:num>
  <w:num w:numId="18">
    <w:abstractNumId w:val="43"/>
  </w:num>
  <w:num w:numId="19">
    <w:abstractNumId w:val="8"/>
  </w:num>
  <w:num w:numId="20">
    <w:abstractNumId w:val="32"/>
  </w:num>
  <w:num w:numId="21">
    <w:abstractNumId w:val="42"/>
  </w:num>
  <w:num w:numId="22">
    <w:abstractNumId w:val="4"/>
  </w:num>
  <w:num w:numId="23">
    <w:abstractNumId w:val="37"/>
  </w:num>
  <w:num w:numId="24">
    <w:abstractNumId w:val="38"/>
  </w:num>
  <w:num w:numId="25">
    <w:abstractNumId w:val="41"/>
  </w:num>
  <w:num w:numId="26">
    <w:abstractNumId w:val="20"/>
  </w:num>
  <w:num w:numId="27">
    <w:abstractNumId w:val="18"/>
  </w:num>
  <w:num w:numId="28">
    <w:abstractNumId w:val="7"/>
  </w:num>
  <w:num w:numId="29">
    <w:abstractNumId w:val="21"/>
  </w:num>
  <w:num w:numId="30">
    <w:abstractNumId w:val="25"/>
  </w:num>
  <w:num w:numId="31">
    <w:abstractNumId w:val="3"/>
  </w:num>
  <w:num w:numId="32">
    <w:abstractNumId w:val="44"/>
  </w:num>
  <w:num w:numId="33">
    <w:abstractNumId w:val="17"/>
  </w:num>
  <w:num w:numId="34">
    <w:abstractNumId w:val="1"/>
  </w:num>
  <w:num w:numId="35">
    <w:abstractNumId w:val="31"/>
  </w:num>
  <w:num w:numId="36">
    <w:abstractNumId w:val="11"/>
  </w:num>
  <w:num w:numId="37">
    <w:abstractNumId w:val="2"/>
  </w:num>
  <w:num w:numId="38">
    <w:abstractNumId w:val="23"/>
  </w:num>
  <w:num w:numId="39">
    <w:abstractNumId w:val="10"/>
  </w:num>
  <w:num w:numId="40">
    <w:abstractNumId w:val="24"/>
  </w:num>
  <w:num w:numId="41">
    <w:abstractNumId w:val="16"/>
  </w:num>
  <w:num w:numId="42">
    <w:abstractNumId w:val="22"/>
  </w:num>
  <w:num w:numId="43">
    <w:abstractNumId w:val="36"/>
  </w:num>
  <w:num w:numId="44">
    <w:abstractNumId w:val="5"/>
  </w:num>
  <w:num w:numId="45">
    <w:abstractNumId w:val="35"/>
  </w:num>
  <w:num w:numId="4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27B"/>
    <w:rsid w:val="00006718"/>
    <w:rsid w:val="000075EC"/>
    <w:rsid w:val="00025410"/>
    <w:rsid w:val="00030D63"/>
    <w:rsid w:val="000360B1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1732"/>
    <w:rsid w:val="001D2988"/>
    <w:rsid w:val="001D45B5"/>
    <w:rsid w:val="001E5744"/>
    <w:rsid w:val="001F18AF"/>
    <w:rsid w:val="001F6BB5"/>
    <w:rsid w:val="0021578C"/>
    <w:rsid w:val="00216FD4"/>
    <w:rsid w:val="0022245B"/>
    <w:rsid w:val="0022584B"/>
    <w:rsid w:val="002303B6"/>
    <w:rsid w:val="002336AA"/>
    <w:rsid w:val="00246AFF"/>
    <w:rsid w:val="00252680"/>
    <w:rsid w:val="002630B6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D23B1"/>
    <w:rsid w:val="002D3BF9"/>
    <w:rsid w:val="002E03CD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0FAB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16FA6"/>
    <w:rsid w:val="00461ED3"/>
    <w:rsid w:val="00462B1A"/>
    <w:rsid w:val="00470A02"/>
    <w:rsid w:val="004849A2"/>
    <w:rsid w:val="004927C7"/>
    <w:rsid w:val="00494A98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C056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6D5D2B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C0E84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6EE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0273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4363B"/>
    <w:rsid w:val="00B60F65"/>
    <w:rsid w:val="00B628D3"/>
    <w:rsid w:val="00B80BD4"/>
    <w:rsid w:val="00B81829"/>
    <w:rsid w:val="00B81FF7"/>
    <w:rsid w:val="00B91655"/>
    <w:rsid w:val="00BB3F52"/>
    <w:rsid w:val="00BC60E4"/>
    <w:rsid w:val="00BD08F1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0D6"/>
    <w:rsid w:val="00CA67BF"/>
    <w:rsid w:val="00D00DC4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DF4545"/>
    <w:rsid w:val="00E03973"/>
    <w:rsid w:val="00E1526B"/>
    <w:rsid w:val="00E31D29"/>
    <w:rsid w:val="00E44DE8"/>
    <w:rsid w:val="00E54083"/>
    <w:rsid w:val="00E6096D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28B0"/>
    <w:rsid w:val="00ED5670"/>
    <w:rsid w:val="00EE5A9E"/>
    <w:rsid w:val="00EF1816"/>
    <w:rsid w:val="00EF1AD7"/>
    <w:rsid w:val="00EF36EE"/>
    <w:rsid w:val="00EF37A0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99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E31E-DECB-40B3-82DB-2C34771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1794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23</cp:revision>
  <dcterms:created xsi:type="dcterms:W3CDTF">2022-02-01T15:56:00Z</dcterms:created>
  <dcterms:modified xsi:type="dcterms:W3CDTF">2023-01-12T21:07:00Z</dcterms:modified>
</cp:coreProperties>
</file>