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192AD024" w:rsidR="00E87FCF" w:rsidRPr="00743E28" w:rsidRDefault="00061BB1" w:rsidP="005E68C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5E68CB" w:rsidRPr="00743E28">
              <w:rPr>
                <w:rFonts w:ascii="Arial" w:hAnsi="Arial" w:cs="Arial"/>
                <w:sz w:val="20"/>
                <w:szCs w:val="20"/>
              </w:rPr>
              <w:t>2</w:t>
            </w:r>
            <w:r w:rsidRPr="00743E28">
              <w:rPr>
                <w:rFonts w:ascii="Arial" w:hAnsi="Arial" w:cs="Arial"/>
                <w:sz w:val="20"/>
                <w:szCs w:val="20"/>
              </w:rPr>
              <w:t>-</w:t>
            </w:r>
            <w:r w:rsidR="00A543A8" w:rsidRPr="00743E28">
              <w:rPr>
                <w:rFonts w:ascii="Arial" w:hAnsi="Arial" w:cs="Arial"/>
                <w:sz w:val="20"/>
                <w:szCs w:val="20"/>
              </w:rPr>
              <w:t>2023</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13340D73" w:rsidR="00E87FCF" w:rsidRPr="00743E28" w:rsidRDefault="00636D57" w:rsidP="00636D57">
            <w:pPr>
              <w:rPr>
                <w:rFonts w:ascii="Arial" w:hAnsi="Arial" w:cs="Arial"/>
                <w:sz w:val="20"/>
                <w:szCs w:val="20"/>
              </w:rPr>
            </w:pPr>
            <w:r w:rsidRPr="00743E28">
              <w:rPr>
                <w:rFonts w:ascii="Arial" w:hAnsi="Arial" w:cs="Arial"/>
                <w:sz w:val="20"/>
                <w:szCs w:val="20"/>
              </w:rPr>
              <w:t xml:space="preserve">Nacional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6A23DA94" w:rsidR="00E87FCF" w:rsidRPr="00743E28" w:rsidRDefault="005E68CB" w:rsidP="00F9166E">
            <w:pPr>
              <w:rPr>
                <w:rFonts w:ascii="Arial" w:hAnsi="Arial" w:cs="Arial"/>
                <w:sz w:val="20"/>
                <w:szCs w:val="20"/>
              </w:rPr>
            </w:pPr>
            <w:r w:rsidRPr="00743E28">
              <w:rPr>
                <w:rFonts w:ascii="Arial" w:hAnsi="Arial" w:cs="Arial"/>
                <w:sz w:val="20"/>
                <w:szCs w:val="20"/>
              </w:rPr>
              <w:t xml:space="preserve">Renovación y Modernización del Parque Vehicular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743E28" w:rsidRDefault="005E68CB" w:rsidP="00F9166E">
            <w:pPr>
              <w:rPr>
                <w:rFonts w:ascii="Arial" w:hAnsi="Arial" w:cs="Arial"/>
                <w:sz w:val="20"/>
                <w:szCs w:val="20"/>
              </w:rPr>
            </w:pPr>
            <w:r w:rsidRPr="00743E28">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568C8740" w:rsidR="00E87FCF" w:rsidRPr="00743E28" w:rsidRDefault="005E68CB" w:rsidP="00F9166E">
            <w:pPr>
              <w:rPr>
                <w:rFonts w:ascii="Arial" w:hAnsi="Arial" w:cs="Arial"/>
                <w:sz w:val="20"/>
                <w:szCs w:val="20"/>
              </w:rPr>
            </w:pPr>
            <w:r w:rsidRPr="00743E28">
              <w:rPr>
                <w:rFonts w:ascii="Arial" w:hAnsi="Arial" w:cs="Arial"/>
                <w:sz w:val="20"/>
                <w:szCs w:val="20"/>
              </w:rPr>
              <w:t>$ 5´320,000.00</w:t>
            </w:r>
            <w:r w:rsidR="005672D9" w:rsidRPr="00743E28">
              <w:rPr>
                <w:rFonts w:ascii="Arial" w:hAnsi="Arial" w:cs="Arial"/>
                <w:sz w:val="20"/>
                <w:szCs w:val="20"/>
              </w:rPr>
              <w:t xml:space="preserve"> </w:t>
            </w:r>
          </w:p>
          <w:p w14:paraId="0BC00C6C" w14:textId="47841E96" w:rsidR="005672D9" w:rsidRPr="00743E28" w:rsidRDefault="00061BB1" w:rsidP="005E68CB">
            <w:pPr>
              <w:rPr>
                <w:rFonts w:ascii="Arial" w:hAnsi="Arial" w:cs="Arial"/>
                <w:sz w:val="20"/>
                <w:szCs w:val="20"/>
              </w:rPr>
            </w:pPr>
            <w:r w:rsidRPr="00743E28">
              <w:rPr>
                <w:rFonts w:ascii="Arial" w:hAnsi="Arial" w:cs="Arial"/>
                <w:sz w:val="20"/>
                <w:szCs w:val="20"/>
              </w:rPr>
              <w:t>(</w:t>
            </w:r>
            <w:r w:rsidR="005E68CB" w:rsidRPr="00743E28">
              <w:rPr>
                <w:rFonts w:ascii="Arial" w:hAnsi="Arial" w:cs="Arial"/>
                <w:sz w:val="20"/>
                <w:szCs w:val="20"/>
              </w:rPr>
              <w:t>cinco millones trescientos veinte mil</w:t>
            </w:r>
            <w:r w:rsidRPr="00743E28">
              <w:rPr>
                <w:rFonts w:ascii="Arial" w:hAnsi="Arial" w:cs="Arial"/>
                <w:sz w:val="20"/>
                <w:szCs w:val="20"/>
              </w:rPr>
              <w:t xml:space="preserve"> 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743E2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743E2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743E2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743E2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743E2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743E2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743E2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743E2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743E2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743E2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743E2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743E2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743E2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743E2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743E2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743E2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743E2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743E2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743E2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743E2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743E2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743E2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743E2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743E2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743E2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743E2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743E2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743E2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743E2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743E2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743E2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743E2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743E2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743E2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743E2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743E2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743E2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743E2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743E2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743E2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743E2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743E2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743E2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743E2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743E2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743E2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743E2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743E2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743E2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743E2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743E2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743E2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743E2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743E2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743E2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16D50874" w:rsidR="00E87FCF" w:rsidRPr="00ED14C4" w:rsidRDefault="001D3950" w:rsidP="005E68CB">
            <w:pPr>
              <w:jc w:val="both"/>
              <w:rPr>
                <w:rFonts w:ascii="Arial" w:hAnsi="Arial" w:cs="Arial"/>
                <w:sz w:val="20"/>
                <w:szCs w:val="20"/>
              </w:rPr>
            </w:pPr>
            <w:r w:rsidRPr="00ED14C4">
              <w:rPr>
                <w:rFonts w:ascii="Arial" w:hAnsi="Arial" w:cs="Arial"/>
                <w:sz w:val="20"/>
                <w:szCs w:val="20"/>
              </w:rPr>
              <w:t xml:space="preserve">Lunes </w:t>
            </w:r>
            <w:r w:rsidR="005E68CB">
              <w:rPr>
                <w:rFonts w:ascii="Arial" w:hAnsi="Arial" w:cs="Arial"/>
                <w:sz w:val="20"/>
                <w:szCs w:val="20"/>
              </w:rPr>
              <w:t>12</w:t>
            </w:r>
            <w:r w:rsidRPr="00ED14C4">
              <w:rPr>
                <w:rFonts w:ascii="Arial" w:hAnsi="Arial" w:cs="Arial"/>
                <w:sz w:val="20"/>
                <w:szCs w:val="20"/>
              </w:rPr>
              <w:t xml:space="preserve"> de </w:t>
            </w:r>
            <w:r w:rsidR="005E68CB">
              <w:rPr>
                <w:rFonts w:ascii="Arial" w:hAnsi="Arial" w:cs="Arial"/>
                <w:sz w:val="20"/>
                <w:szCs w:val="20"/>
              </w:rPr>
              <w:t>junio</w:t>
            </w:r>
            <w:r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743E28"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3742E49C" w:rsidR="00886770" w:rsidRPr="00ED14C4" w:rsidRDefault="00ED14C4" w:rsidP="005E68CB">
            <w:pPr>
              <w:jc w:val="both"/>
              <w:rPr>
                <w:rFonts w:ascii="Arial" w:hAnsi="Arial" w:cs="Arial"/>
                <w:sz w:val="20"/>
                <w:szCs w:val="20"/>
              </w:rPr>
            </w:pPr>
            <w:r>
              <w:rPr>
                <w:rFonts w:ascii="Arial" w:hAnsi="Arial" w:cs="Arial"/>
                <w:sz w:val="20"/>
                <w:szCs w:val="20"/>
              </w:rPr>
              <w:t>Miércoles</w:t>
            </w:r>
            <w:r w:rsidR="00F40DE9" w:rsidRPr="00ED14C4">
              <w:rPr>
                <w:rFonts w:ascii="Arial" w:hAnsi="Arial" w:cs="Arial"/>
                <w:sz w:val="20"/>
                <w:szCs w:val="20"/>
              </w:rPr>
              <w:t xml:space="preserve"> </w:t>
            </w:r>
            <w:r w:rsidR="005E68CB">
              <w:rPr>
                <w:rFonts w:ascii="Arial" w:hAnsi="Arial" w:cs="Arial"/>
                <w:sz w:val="20"/>
                <w:szCs w:val="20"/>
              </w:rPr>
              <w:t>14 de junio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73D68E47" w:rsidR="00886770" w:rsidRPr="00ED14C4" w:rsidRDefault="00ED1805" w:rsidP="005E68CB">
            <w:pPr>
              <w:jc w:val="both"/>
              <w:rPr>
                <w:rFonts w:ascii="Arial" w:hAnsi="Arial" w:cs="Arial"/>
                <w:sz w:val="20"/>
                <w:szCs w:val="20"/>
              </w:rPr>
            </w:pPr>
            <w:r>
              <w:rPr>
                <w:rFonts w:ascii="Arial" w:hAnsi="Arial" w:cs="Arial"/>
                <w:sz w:val="20"/>
                <w:szCs w:val="20"/>
              </w:rPr>
              <w:t>Lunes 19</w:t>
            </w:r>
            <w:r w:rsidR="001D3950" w:rsidRPr="00ED14C4">
              <w:rPr>
                <w:rFonts w:ascii="Arial" w:hAnsi="Arial" w:cs="Arial"/>
                <w:sz w:val="20"/>
                <w:szCs w:val="20"/>
              </w:rPr>
              <w:t xml:space="preserve"> de </w:t>
            </w:r>
            <w:r w:rsidR="005E68CB">
              <w:rPr>
                <w:rFonts w:ascii="Arial" w:hAnsi="Arial" w:cs="Arial"/>
                <w:sz w:val="20"/>
                <w:szCs w:val="20"/>
              </w:rPr>
              <w:t>junio</w:t>
            </w:r>
            <w:r w:rsidR="001D3950" w:rsidRPr="00ED14C4">
              <w:rPr>
                <w:rFonts w:ascii="Arial" w:hAnsi="Arial" w:cs="Arial"/>
                <w:sz w:val="20"/>
                <w:szCs w:val="20"/>
              </w:rPr>
              <w:t xml:space="preserve"> </w:t>
            </w:r>
            <w:r w:rsidR="00F40DE9" w:rsidRPr="00ED14C4">
              <w:rPr>
                <w:rFonts w:ascii="Arial" w:hAnsi="Arial" w:cs="Arial"/>
                <w:sz w:val="20"/>
                <w:szCs w:val="20"/>
              </w:rPr>
              <w:t xml:space="preserve"> 2023 </w:t>
            </w:r>
          </w:p>
        </w:tc>
        <w:tc>
          <w:tcPr>
            <w:tcW w:w="2410" w:type="dxa"/>
            <w:vAlign w:val="center"/>
          </w:tcPr>
          <w:p w14:paraId="41371463" w14:textId="7486BE53" w:rsidR="00886770" w:rsidRPr="00ED14C4" w:rsidRDefault="005E68CB" w:rsidP="00ED1805">
            <w:pPr>
              <w:jc w:val="center"/>
              <w:rPr>
                <w:rFonts w:ascii="Arial" w:hAnsi="Arial" w:cs="Arial"/>
                <w:sz w:val="20"/>
                <w:szCs w:val="20"/>
              </w:rPr>
            </w:pPr>
            <w:r>
              <w:rPr>
                <w:rFonts w:ascii="Arial" w:hAnsi="Arial" w:cs="Arial"/>
                <w:sz w:val="20"/>
                <w:szCs w:val="20"/>
              </w:rPr>
              <w:t>1</w:t>
            </w:r>
            <w:r w:rsidR="00ED1805">
              <w:rPr>
                <w:rFonts w:ascii="Arial" w:hAnsi="Arial" w:cs="Arial"/>
                <w:sz w:val="20"/>
                <w:szCs w:val="20"/>
              </w:rPr>
              <w:t>1</w:t>
            </w:r>
            <w:r w:rsidR="00F40DE9"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0EFBA4C" w:rsidR="007B3A4D" w:rsidRPr="00ED14C4" w:rsidRDefault="007B5759" w:rsidP="007B5759">
            <w:pPr>
              <w:jc w:val="both"/>
              <w:rPr>
                <w:rFonts w:ascii="Arial" w:hAnsi="Arial" w:cs="Arial"/>
                <w:sz w:val="20"/>
                <w:szCs w:val="20"/>
              </w:rPr>
            </w:pPr>
            <w:r>
              <w:rPr>
                <w:rFonts w:ascii="Arial" w:hAnsi="Arial" w:cs="Arial"/>
                <w:sz w:val="20"/>
                <w:szCs w:val="20"/>
                <w:highlight w:val="cyan"/>
              </w:rPr>
              <w:t>Desde la publicación de la Convocatoria y h</w:t>
            </w:r>
            <w:r w:rsidR="007B3A4D" w:rsidRPr="00715B8F">
              <w:rPr>
                <w:rFonts w:ascii="Arial" w:hAnsi="Arial" w:cs="Arial"/>
                <w:sz w:val="20"/>
                <w:szCs w:val="20"/>
                <w:highlight w:val="cyan"/>
              </w:rPr>
              <w:t>asta 30 minutos antes de la apertura de propuestas</w:t>
            </w:r>
            <w:r>
              <w:rPr>
                <w:rFonts w:ascii="Arial" w:hAnsi="Arial" w:cs="Arial"/>
                <w:sz w:val="20"/>
                <w:szCs w:val="20"/>
                <w:highlight w:val="cyan"/>
              </w:rPr>
              <w:t>, en Oficialía de Partes de la Auditoría Superior del Estado de Jalisco</w:t>
            </w:r>
            <w:r w:rsidR="007B3A4D" w:rsidRPr="00715B8F">
              <w:rPr>
                <w:rFonts w:ascii="Arial" w:hAnsi="Arial" w:cs="Arial"/>
                <w:sz w:val="20"/>
                <w:szCs w:val="20"/>
                <w:highlight w:val="cyan"/>
              </w:rPr>
              <w:t>.</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717FCBE3" w:rsidR="00886770" w:rsidRPr="00ED14C4" w:rsidRDefault="00ED1805" w:rsidP="005E68CB">
            <w:pPr>
              <w:jc w:val="center"/>
              <w:rPr>
                <w:rFonts w:ascii="Arial" w:hAnsi="Arial" w:cs="Arial"/>
                <w:sz w:val="20"/>
                <w:szCs w:val="20"/>
              </w:rPr>
            </w:pPr>
            <w:r>
              <w:rPr>
                <w:rFonts w:ascii="Arial" w:hAnsi="Arial" w:cs="Arial"/>
                <w:sz w:val="20"/>
                <w:szCs w:val="20"/>
              </w:rPr>
              <w:t xml:space="preserve">Viernes 23 de junio de </w:t>
            </w:r>
            <w:r w:rsidR="000A578C" w:rsidRPr="00ED14C4">
              <w:rPr>
                <w:rFonts w:ascii="Arial" w:hAnsi="Arial" w:cs="Arial"/>
                <w:sz w:val="20"/>
                <w:szCs w:val="20"/>
              </w:rPr>
              <w:t>2023</w:t>
            </w:r>
          </w:p>
        </w:tc>
        <w:tc>
          <w:tcPr>
            <w:tcW w:w="2410" w:type="dxa"/>
            <w:vAlign w:val="center"/>
          </w:tcPr>
          <w:p w14:paraId="1A287D93" w14:textId="34A47C4B" w:rsidR="00886770" w:rsidRPr="00ED14C4" w:rsidRDefault="000A578C" w:rsidP="000A578C">
            <w:pPr>
              <w:ind w:left="708"/>
              <w:jc w:val="both"/>
              <w:rPr>
                <w:rFonts w:ascii="Arial" w:hAnsi="Arial" w:cs="Arial"/>
                <w:sz w:val="20"/>
                <w:szCs w:val="20"/>
              </w:rPr>
            </w:pPr>
            <w:r w:rsidRPr="00ED14C4">
              <w:rPr>
                <w:rFonts w:ascii="Arial" w:hAnsi="Arial" w:cs="Arial"/>
                <w:sz w:val="20"/>
                <w:szCs w:val="20"/>
              </w:rPr>
              <w:t>11:00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B5C9A12" w:rsidR="007B3A4D" w:rsidRPr="00ED14C4" w:rsidRDefault="007B3A4D" w:rsidP="00ED1805">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D1805">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15B8F">
        <w:rPr>
          <w:rFonts w:ascii="Arial" w:hAnsi="Arial" w:cs="Arial"/>
          <w:b/>
          <w:color w:val="000000"/>
          <w:sz w:val="24"/>
          <w:szCs w:val="24"/>
          <w:highlight w:val="yellow"/>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60FF7E2F" w:rsidR="00F9166E" w:rsidRPr="00F9166E" w:rsidRDefault="005E68CB"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y modernización del parque vehicular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3BA6C71" w14:textId="01D0FC3E" w:rsidR="00530EFE" w:rsidRDefault="005E68CB" w:rsidP="00F9166E">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 xml:space="preserve">Seis </w:t>
            </w:r>
            <w:r>
              <w:rPr>
                <w:rFonts w:ascii="Arial" w:eastAsia="Arial" w:hAnsi="Arial" w:cs="Arial"/>
                <w:color w:val="000000"/>
                <w:sz w:val="20"/>
                <w:szCs w:val="20"/>
                <w:lang w:val="es-ES" w:eastAsia="es-ES"/>
              </w:rPr>
              <w:t xml:space="preserve">Vehículos SEDAN </w:t>
            </w:r>
          </w:p>
          <w:p w14:paraId="19C6A704" w14:textId="3DBF01F2" w:rsidR="00F9166E" w:rsidRPr="00F9166E" w:rsidRDefault="00F9166E" w:rsidP="00530EFE">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75020AF5" w14:textId="73D30082" w:rsidR="00F9166E" w:rsidRDefault="005E68CB" w:rsidP="00F9166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Tres Vehículos SUV</w:t>
            </w:r>
            <w:r w:rsidR="001D3950">
              <w:rPr>
                <w:rFonts w:ascii="Arial" w:eastAsia="Arial" w:hAnsi="Arial" w:cs="Arial"/>
                <w:color w:val="000000"/>
                <w:sz w:val="20"/>
                <w:szCs w:val="20"/>
                <w:lang w:val="es-ES" w:eastAsia="es-ES"/>
              </w:rPr>
              <w:t xml:space="preserve"> </w:t>
            </w:r>
          </w:p>
          <w:p w14:paraId="7AB85604" w14:textId="1C8DDE2D" w:rsidR="00530EFE" w:rsidRDefault="00530EFE" w:rsidP="00530EFE">
            <w:pPr>
              <w:pStyle w:val="Sinespaciado"/>
              <w:ind w:left="720"/>
              <w:jc w:val="both"/>
              <w:rPr>
                <w:rFonts w:ascii="Arial" w:eastAsia="Arial" w:hAnsi="Arial" w:cs="Arial"/>
                <w:color w:val="000000"/>
                <w:sz w:val="20"/>
                <w:szCs w:val="20"/>
                <w:lang w:val="es-ES" w:eastAsia="es-ES"/>
              </w:rPr>
            </w:pPr>
          </w:p>
          <w:p w14:paraId="77872BEA" w14:textId="77777777" w:rsidR="00D82E95" w:rsidRPr="0086381B" w:rsidRDefault="00D82E95" w:rsidP="00D82E95">
            <w:pPr>
              <w:jc w:val="both"/>
              <w:rPr>
                <w:rFonts w:ascii="Arial" w:hAnsi="Arial" w:cs="Arial"/>
              </w:rPr>
            </w:pPr>
            <w:r w:rsidRPr="0086381B">
              <w:rPr>
                <w:rFonts w:ascii="Arial" w:hAnsi="Arial" w:cs="Arial"/>
              </w:rPr>
              <w:t>El servicio de gestoría será realizado por el proveedor adjudicado, con costo a la convocante.</w:t>
            </w:r>
          </w:p>
          <w:p w14:paraId="099130A1" w14:textId="77777777" w:rsidR="00D82E95" w:rsidRPr="00F9166E" w:rsidRDefault="00D82E95"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5ABD28E" w:rsidR="00F9166E" w:rsidRPr="00530EFE" w:rsidRDefault="005E68CB" w:rsidP="005E68C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bookmarkStart w:id="3" w:name="_GoBack"/>
            <w:bookmarkEnd w:id="3"/>
            <w:r>
              <w:rPr>
                <w:rFonts w:ascii="Arial" w:hAnsi="Arial" w:cs="Arial"/>
                <w:color w:val="000000"/>
                <w:sz w:val="20"/>
                <w:szCs w:val="20"/>
              </w:rPr>
              <w:t>3</w:t>
            </w:r>
            <w:r w:rsidR="00530EFE" w:rsidRPr="00530EFE">
              <w:rPr>
                <w:rFonts w:ascii="Arial" w:hAnsi="Arial" w:cs="Arial"/>
                <w:color w:val="000000"/>
                <w:sz w:val="20"/>
                <w:szCs w:val="20"/>
              </w:rPr>
              <w:t xml:space="preserve">1 de </w:t>
            </w:r>
            <w:r>
              <w:rPr>
                <w:rFonts w:ascii="Arial" w:hAnsi="Arial" w:cs="Arial"/>
                <w:color w:val="000000"/>
                <w:sz w:val="20"/>
                <w:szCs w:val="20"/>
              </w:rPr>
              <w:t xml:space="preserve">diciembre </w:t>
            </w:r>
            <w:r w:rsidR="001D3950">
              <w:rPr>
                <w:rFonts w:ascii="Arial" w:hAnsi="Arial" w:cs="Arial"/>
                <w:color w:val="000000"/>
                <w:sz w:val="20"/>
                <w:szCs w:val="20"/>
              </w:rPr>
              <w:t xml:space="preserve">del </w:t>
            </w:r>
            <w:r w:rsidR="00530EFE">
              <w:rPr>
                <w:rFonts w:ascii="Arial" w:hAnsi="Arial" w:cs="Arial"/>
                <w:color w:val="000000"/>
                <w:sz w:val="20"/>
                <w:szCs w:val="20"/>
              </w:rPr>
              <w:t xml:space="preserve">2023 </w:t>
            </w:r>
          </w:p>
        </w:tc>
      </w:tr>
      <w:tr w:rsidR="00F9166E" w:rsidRPr="00F9166E" w14:paraId="0B69190C" w14:textId="77777777" w:rsidTr="001611AF">
        <w:trPr>
          <w:trHeight w:val="1911"/>
        </w:trPr>
        <w:tc>
          <w:tcPr>
            <w:tcW w:w="3581" w:type="dxa"/>
            <w:shd w:val="clear" w:color="auto" w:fill="BFBFBF" w:themeFill="background1" w:themeFillShade="BF"/>
          </w:tcPr>
          <w:p w14:paraId="55BD8C42" w14:textId="6D8A0755" w:rsidR="00F9166E" w:rsidRPr="00F9166E" w:rsidRDefault="00F9166E" w:rsidP="001611A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593FF8D1" w14:textId="77777777" w:rsidR="005E68CB" w:rsidRDefault="005E68CB" w:rsidP="005E68CB">
            <w:pPr>
              <w:pStyle w:val="Sinespaciado"/>
              <w:ind w:left="720"/>
              <w:jc w:val="both"/>
              <w:rPr>
                <w:rFonts w:ascii="Arial" w:eastAsia="Times New Roman" w:hAnsi="Arial" w:cs="Arial"/>
                <w:color w:val="000000"/>
                <w:sz w:val="20"/>
                <w:szCs w:val="20"/>
                <w:lang w:eastAsia="es-MX"/>
              </w:rPr>
            </w:pPr>
          </w:p>
          <w:p w14:paraId="4816A4B9" w14:textId="2133BF56" w:rsidR="00F9166E" w:rsidRDefault="005E68CB"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Partida 1 SEDAN</w:t>
            </w:r>
          </w:p>
          <w:p w14:paraId="53C56071" w14:textId="77777777" w:rsidR="005E68CB" w:rsidRDefault="005E68CB" w:rsidP="005E68CB">
            <w:pPr>
              <w:pStyle w:val="Sinespaciado"/>
              <w:ind w:left="720"/>
              <w:jc w:val="both"/>
              <w:rPr>
                <w:rFonts w:ascii="Arial" w:eastAsia="Times New Roman" w:hAnsi="Arial" w:cs="Arial"/>
                <w:color w:val="000000"/>
                <w:sz w:val="20"/>
                <w:szCs w:val="20"/>
                <w:lang w:eastAsia="es-MX"/>
              </w:rPr>
            </w:pPr>
          </w:p>
          <w:p w14:paraId="2604D2EB" w14:textId="77777777" w:rsidR="005E68CB" w:rsidRDefault="005E68CB"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Partida 2 SUV </w:t>
            </w:r>
          </w:p>
          <w:p w14:paraId="4E7C0D4C" w14:textId="77777777" w:rsidR="005E68CB" w:rsidRDefault="005E68CB" w:rsidP="005E68CB">
            <w:pPr>
              <w:pStyle w:val="Sinespaciado"/>
              <w:jc w:val="both"/>
              <w:rPr>
                <w:rFonts w:ascii="Arial" w:eastAsia="Times New Roman" w:hAnsi="Arial" w:cs="Arial"/>
                <w:color w:val="000000"/>
                <w:sz w:val="20"/>
                <w:szCs w:val="20"/>
                <w:lang w:eastAsia="es-MX"/>
              </w:rPr>
            </w:pPr>
          </w:p>
          <w:p w14:paraId="07139C33" w14:textId="06AFFA8F" w:rsidR="005E68CB" w:rsidRDefault="005E68CB" w:rsidP="001611AF">
            <w:pPr>
              <w:pStyle w:val="Sinespaciado"/>
              <w:shd w:val="clear" w:color="auto" w:fill="A8D08D" w:themeFill="accent6" w:themeFillTint="99"/>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Las partidas podrán ser adjudicadas a un solo licitante o de forma diferenciada de conformidad a lo establecido en la presente convocatoria. </w:t>
            </w:r>
          </w:p>
          <w:p w14:paraId="63BAAC19" w14:textId="23AFE524" w:rsidR="005E68CB" w:rsidRPr="00530EFE" w:rsidRDefault="005E68CB" w:rsidP="005E68CB">
            <w:pPr>
              <w:pStyle w:val="Sinespaciado"/>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lastRenderedPageBreak/>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 xml:space="preserve">comprobar fehacientemente que cuentan con la capacidad </w:t>
      </w:r>
      <w:r w:rsidRPr="00B84813">
        <w:rPr>
          <w:rFonts w:ascii="Arial" w:hAnsi="Arial" w:cs="Arial"/>
          <w:sz w:val="24"/>
          <w:szCs w:val="24"/>
        </w:rPr>
        <w:lastRenderedPageBreak/>
        <w:t>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lastRenderedPageBreak/>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lastRenderedPageBreak/>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 xml:space="preserve">cios en </w:t>
      </w:r>
      <w:r w:rsidR="00526E59">
        <w:rPr>
          <w:rFonts w:ascii="Arial" w:hAnsi="Arial" w:cs="Arial"/>
          <w:color w:val="000000"/>
          <w:spacing w:val="-3"/>
        </w:rPr>
        <w:lastRenderedPageBreak/>
        <w:t>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w:t>
      </w:r>
      <w:r w:rsidRPr="00B84813">
        <w:rPr>
          <w:rFonts w:ascii="Arial" w:hAnsi="Arial" w:cs="Arial"/>
          <w:color w:val="000000"/>
          <w:spacing w:val="-3"/>
        </w:rPr>
        <w:lastRenderedPageBreak/>
        <w:t xml:space="preserve">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lastRenderedPageBreak/>
        <w:t>Dar clic en el botón "Guardar" y firmar mediante la e.firma.</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lastRenderedPageBreak/>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lastRenderedPageBreak/>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lastRenderedPageBreak/>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lastRenderedPageBreak/>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xml:space="preserve">, de conformidad con el artículo 105 del </w:t>
      </w:r>
      <w:r w:rsidR="00FB33FF">
        <w:rPr>
          <w:rFonts w:ascii="Arial" w:eastAsia="Times New Roman" w:hAnsi="Arial" w:cs="Arial"/>
          <w:color w:val="000000"/>
          <w:sz w:val="24"/>
          <w:szCs w:val="24"/>
          <w:lang w:val="es-ES" w:eastAsia="es-ES"/>
        </w:rPr>
        <w:lastRenderedPageBreak/>
        <w:t>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lastRenderedPageBreak/>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lastRenderedPageBreak/>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xml:space="preserve">, de conformidad con el artículo 85 de la Ley y 108 de su </w:t>
      </w:r>
      <w:r w:rsidRPr="00721713">
        <w:rPr>
          <w:rFonts w:ascii="Arial" w:eastAsia="Times New Roman" w:hAnsi="Arial" w:cs="Arial"/>
          <w:spacing w:val="-1"/>
          <w:sz w:val="24"/>
          <w:szCs w:val="24"/>
          <w:lang w:val="es-ES" w:eastAsia="es-ES"/>
        </w:rPr>
        <w:lastRenderedPageBreak/>
        <w:t>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w:t>
      </w:r>
      <w:r w:rsidRPr="00721713">
        <w:rPr>
          <w:rFonts w:ascii="Arial" w:eastAsia="Times New Roman" w:hAnsi="Arial" w:cs="Arial"/>
          <w:spacing w:val="-1"/>
          <w:sz w:val="24"/>
          <w:szCs w:val="24"/>
          <w:lang w:val="es-ES" w:eastAsia="es-ES"/>
        </w:rPr>
        <w:lastRenderedPageBreak/>
        <w:t>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w:t>
      </w:r>
      <w:r w:rsidRPr="007D5D48">
        <w:rPr>
          <w:rFonts w:ascii="Arial" w:hAnsi="Arial" w:cs="Arial"/>
        </w:rPr>
        <w:lastRenderedPageBreak/>
        <w:t>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743E28" w:rsidRDefault="00743E28" w:rsidP="00203087">
      <w:pPr>
        <w:spacing w:after="0" w:line="240" w:lineRule="auto"/>
      </w:pPr>
      <w:r>
        <w:separator/>
      </w:r>
    </w:p>
  </w:endnote>
  <w:endnote w:type="continuationSeparator" w:id="0">
    <w:p w14:paraId="030F91FB" w14:textId="77777777" w:rsidR="00743E28" w:rsidRDefault="00743E2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53B8974" w:rsidR="00743E28" w:rsidRPr="00FE3509" w:rsidRDefault="00743E2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5421E">
          <w:rPr>
            <w:rFonts w:ascii="Arial" w:hAnsi="Arial" w:cs="Arial"/>
            <w:noProof/>
            <w:sz w:val="22"/>
          </w:rPr>
          <w:t>8</w:t>
        </w:r>
        <w:r w:rsidRPr="00FE3509">
          <w:rPr>
            <w:rFonts w:ascii="Arial" w:hAnsi="Arial" w:cs="Arial"/>
            <w:sz w:val="22"/>
          </w:rPr>
          <w:fldChar w:fldCharType="end"/>
        </w:r>
      </w:p>
    </w:sdtContent>
  </w:sdt>
  <w:p w14:paraId="4BD93C9F" w14:textId="77777777" w:rsidR="00743E28" w:rsidRDefault="00743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743E28" w:rsidRDefault="00743E28" w:rsidP="00203087">
      <w:pPr>
        <w:spacing w:after="0" w:line="240" w:lineRule="auto"/>
      </w:pPr>
      <w:r>
        <w:separator/>
      </w:r>
    </w:p>
  </w:footnote>
  <w:footnote w:type="continuationSeparator" w:id="0">
    <w:p w14:paraId="1E362892" w14:textId="77777777" w:rsidR="00743E28" w:rsidRDefault="00743E2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C365B"/>
    <w:rsid w:val="00EC3D11"/>
    <w:rsid w:val="00ED14C4"/>
    <w:rsid w:val="00ED1805"/>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5D54-A737-415C-8C7E-AE0499D1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49</Pages>
  <Words>17679</Words>
  <Characters>97236</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13</cp:revision>
  <cp:lastPrinted>2023-05-09T16:44:00Z</cp:lastPrinted>
  <dcterms:created xsi:type="dcterms:W3CDTF">2023-06-06T16:56:00Z</dcterms:created>
  <dcterms:modified xsi:type="dcterms:W3CDTF">2023-06-12T17:02:00Z</dcterms:modified>
</cp:coreProperties>
</file>