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5B4B064" w:rsidR="00286B98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2FDFE51D" w14:textId="77777777" w:rsidR="00F45AC5" w:rsidRPr="004878DC" w:rsidRDefault="00F45AC5" w:rsidP="00862DDD">
      <w:pPr>
        <w:widowControl w:val="0"/>
        <w:autoSpaceDE w:val="0"/>
        <w:autoSpaceDN w:val="0"/>
        <w:adjustRightInd w:val="0"/>
        <w:spacing w:line="257" w:lineRule="auto"/>
        <w:ind w:left="100" w:right="62"/>
        <w:rPr>
          <w:rFonts w:ascii="Arial" w:hAnsi="Arial" w:cs="Arial"/>
          <w:b/>
          <w:color w:val="000000"/>
        </w:rPr>
      </w:pPr>
    </w:p>
    <w:p w14:paraId="3A82B87B" w14:textId="3AE8184F" w:rsidR="00F45AC5" w:rsidRPr="005316ED" w:rsidRDefault="002360AD" w:rsidP="005316ED">
      <w:pPr>
        <w:pStyle w:val="Prrafodelista"/>
        <w:numPr>
          <w:ilvl w:val="0"/>
          <w:numId w:val="10"/>
        </w:numPr>
        <w:spacing w:before="100" w:after="200" w:line="276" w:lineRule="auto"/>
        <w:rPr>
          <w:rFonts w:ascii="Arial" w:eastAsia="Arial" w:hAnsi="Arial" w:cs="Arial"/>
          <w:b/>
        </w:rPr>
      </w:pPr>
      <w:r w:rsidRPr="00F45AC5">
        <w:rPr>
          <w:rFonts w:ascii="Arial" w:eastAsia="Arial" w:hAnsi="Arial" w:cs="Arial"/>
          <w:b/>
        </w:rPr>
        <w:t>Requerimiento:</w:t>
      </w:r>
    </w:p>
    <w:p w14:paraId="2B950EC9" w14:textId="7C12E8ED" w:rsidR="00F45AC5" w:rsidRPr="005316ED" w:rsidRDefault="00F45AC5" w:rsidP="005316ED">
      <w:pPr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/>
        </w:rPr>
      </w:pPr>
      <w:r w:rsidRPr="00B02BCF">
        <w:rPr>
          <w:rFonts w:ascii="Arial" w:hAnsi="Arial" w:cs="Arial"/>
          <w:color w:val="000000" w:themeColor="text1"/>
          <w:sz w:val="22"/>
          <w:szCs w:val="22"/>
          <w:lang w:val="es-MX" w:eastAsia="es-MX"/>
        </w:rPr>
        <w:t>Póliza de seguro para 72 vehículos que integran la flotilla del parque vehicular de la Auditoría</w:t>
      </w:r>
      <w:r w:rsidR="005316ED">
        <w:rPr>
          <w:rFonts w:ascii="Arial" w:hAnsi="Arial" w:cs="Arial"/>
          <w:color w:val="000000" w:themeColor="text1"/>
          <w:sz w:val="22"/>
          <w:szCs w:val="22"/>
          <w:lang w:val="es-MX" w:eastAsia="es-MX"/>
        </w:rPr>
        <w:t xml:space="preserve"> Superior del Estado de Jalisco con d</w:t>
      </w:r>
      <w:r w:rsidR="005316ED">
        <w:rPr>
          <w:rFonts w:ascii="Arial" w:hAnsi="Arial" w:cs="Arial"/>
          <w:sz w:val="22"/>
          <w:szCs w:val="22"/>
        </w:rPr>
        <w:t>educible Auto administrado</w:t>
      </w:r>
      <w:r w:rsidRPr="009A7495">
        <w:rPr>
          <w:rFonts w:ascii="Arial" w:hAnsi="Arial" w:cs="Arial"/>
          <w:sz w:val="22"/>
          <w:szCs w:val="22"/>
        </w:rPr>
        <w:t xml:space="preserve"> (los deducibles se pagarán únicamente a la aseguradora).</w:t>
      </w:r>
    </w:p>
    <w:p w14:paraId="3F15DA09" w14:textId="0CB21C62" w:rsidR="00F45AC5" w:rsidRPr="00B02BCF" w:rsidRDefault="00F45AC5" w:rsidP="00F45AC5">
      <w:pPr>
        <w:jc w:val="both"/>
        <w:rPr>
          <w:rFonts w:ascii="Arial" w:hAnsi="Arial" w:cs="Arial"/>
          <w:sz w:val="22"/>
          <w:szCs w:val="22"/>
        </w:rPr>
      </w:pPr>
    </w:p>
    <w:p w14:paraId="5977E47B" w14:textId="42BAA0A8" w:rsidR="00F45AC5" w:rsidRPr="009A7495" w:rsidRDefault="00F45AC5" w:rsidP="009A7495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val="es-MX" w:eastAsia="es-MX"/>
        </w:rPr>
      </w:pPr>
      <w:r w:rsidRPr="00B02BCF">
        <w:rPr>
          <w:rFonts w:ascii="Arial" w:hAnsi="Arial" w:cs="Arial"/>
          <w:sz w:val="22"/>
          <w:szCs w:val="22"/>
          <w:lang w:val="es-MX" w:eastAsia="es-MX"/>
        </w:rPr>
        <w:t>Se adjunta padrón vehicular.</w:t>
      </w:r>
    </w:p>
    <w:p w14:paraId="7C935489" w14:textId="27F79CCA" w:rsidR="00F45AC5" w:rsidRDefault="00F45AC5" w:rsidP="00F45AC5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val="es-MX" w:eastAsia="es-MX"/>
        </w:rPr>
      </w:pPr>
      <w:r w:rsidRPr="00B02BCF">
        <w:rPr>
          <w:rFonts w:ascii="Arial" w:hAnsi="Arial" w:cs="Arial"/>
          <w:sz w:val="22"/>
          <w:szCs w:val="22"/>
          <w:lang w:val="es-MX" w:eastAsia="es-MX"/>
        </w:rPr>
        <w:t>Se adjunta siniestralidad de 5 años.</w:t>
      </w:r>
    </w:p>
    <w:p w14:paraId="4E094F14" w14:textId="7E1E905A" w:rsidR="00F45AC5" w:rsidRPr="0084106E" w:rsidRDefault="00F45AC5" w:rsidP="0084106E">
      <w:pPr>
        <w:rPr>
          <w:rFonts w:ascii="Arial" w:hAnsi="Arial" w:cs="Arial"/>
          <w:sz w:val="22"/>
          <w:szCs w:val="22"/>
          <w:lang w:val="es-MX" w:eastAsia="es-MX"/>
        </w:rPr>
      </w:pPr>
    </w:p>
    <w:p w14:paraId="5833D3E1" w14:textId="523325F7" w:rsidR="00F45AC5" w:rsidRDefault="00862DDD" w:rsidP="00862DD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862DDD">
        <w:rPr>
          <w:rFonts w:ascii="Arial" w:hAnsi="Arial" w:cs="Arial"/>
          <w:b/>
          <w:sz w:val="22"/>
          <w:szCs w:val="22"/>
          <w:lang w:val="es-MX" w:eastAsia="es-MX"/>
        </w:rPr>
        <w:t>Las Condiciones Generales que aplican para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 xml:space="preserve"> el servicio solicitado por la C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>onvocante, deberán estar autorizadas y registradas ante la C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 xml:space="preserve">omisión 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>N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 xml:space="preserve">acional de 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>S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 xml:space="preserve">eguros y 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>F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>ianzas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>, para la prestación del servicio, teniendo prelación lo descrito en las bases, anexos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>, especificaciones técnicas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 xml:space="preserve"> y junta de aclaraciones correspondiente</w:t>
      </w:r>
      <w:r w:rsidR="005316ED">
        <w:rPr>
          <w:rFonts w:ascii="Arial" w:hAnsi="Arial" w:cs="Arial"/>
          <w:b/>
          <w:sz w:val="22"/>
          <w:szCs w:val="22"/>
          <w:lang w:val="es-MX" w:eastAsia="es-MX"/>
        </w:rPr>
        <w:t>s</w:t>
      </w:r>
      <w:r w:rsidRPr="00862DDD">
        <w:rPr>
          <w:rFonts w:ascii="Arial" w:hAnsi="Arial" w:cs="Arial"/>
          <w:b/>
          <w:sz w:val="22"/>
          <w:szCs w:val="22"/>
          <w:lang w:val="es-MX" w:eastAsia="es-MX"/>
        </w:rPr>
        <w:t xml:space="preserve"> a esta licitación</w:t>
      </w:r>
      <w:r>
        <w:rPr>
          <w:rFonts w:ascii="Arial" w:hAnsi="Arial" w:cs="Arial"/>
          <w:sz w:val="22"/>
          <w:szCs w:val="22"/>
          <w:lang w:val="es-MX" w:eastAsia="es-MX"/>
        </w:rPr>
        <w:t>.</w:t>
      </w:r>
    </w:p>
    <w:p w14:paraId="7C756661" w14:textId="77777777" w:rsidR="00F45AC5" w:rsidRPr="00B02BCF" w:rsidRDefault="00F45AC5" w:rsidP="00F45AC5">
      <w:pPr>
        <w:pStyle w:val="Prrafodelista"/>
        <w:ind w:left="1440"/>
        <w:rPr>
          <w:rFonts w:ascii="Arial" w:hAnsi="Arial" w:cs="Arial"/>
          <w:sz w:val="22"/>
          <w:szCs w:val="22"/>
          <w:lang w:val="es-MX" w:eastAsia="es-MX"/>
        </w:rPr>
      </w:pPr>
    </w:p>
    <w:p w14:paraId="715A3521" w14:textId="562B7E8B" w:rsidR="00F45AC5" w:rsidRPr="005316ED" w:rsidRDefault="00F45AC5" w:rsidP="005316ED">
      <w:pPr>
        <w:pStyle w:val="Prrafodelista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316ED">
        <w:rPr>
          <w:rFonts w:ascii="Arial" w:hAnsi="Arial" w:cs="Arial"/>
          <w:b/>
          <w:color w:val="000000" w:themeColor="text1"/>
          <w:sz w:val="22"/>
          <w:szCs w:val="22"/>
          <w:lang w:val="es-MX" w:eastAsia="es-MX"/>
        </w:rPr>
        <w:t xml:space="preserve">Bienes cubiertos: </w:t>
      </w:r>
      <w:r w:rsidRPr="005316ED">
        <w:rPr>
          <w:rFonts w:ascii="Arial" w:hAnsi="Arial" w:cs="Arial"/>
          <w:sz w:val="22"/>
          <w:szCs w:val="22"/>
        </w:rPr>
        <w:t>Automóviles, camionetas y camión, de acuerdo a la relación detallada de las unidades a asegurar (se anexa listado), y en general todos los vehículos propiedad o al servicio de la Auditoría Superior del Estado de Jalisco, que sean adquiridos y/o se den de alta durante la vigencia de la póliza.</w:t>
      </w:r>
    </w:p>
    <w:p w14:paraId="05DBFF3D" w14:textId="612387E7" w:rsidR="00F45AC5" w:rsidRPr="00B02BCF" w:rsidRDefault="00F45AC5" w:rsidP="005316ED">
      <w:pPr>
        <w:jc w:val="both"/>
        <w:rPr>
          <w:rFonts w:ascii="Arial" w:hAnsi="Arial" w:cs="Arial"/>
          <w:sz w:val="22"/>
          <w:szCs w:val="22"/>
        </w:rPr>
      </w:pPr>
    </w:p>
    <w:p w14:paraId="2CB5191E" w14:textId="77777777" w:rsidR="00F45AC5" w:rsidRPr="005316ED" w:rsidRDefault="00F45AC5" w:rsidP="005316ED">
      <w:pPr>
        <w:pStyle w:val="Prrafodelista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316ED">
        <w:rPr>
          <w:rFonts w:ascii="Arial" w:hAnsi="Arial" w:cs="Arial"/>
          <w:b/>
          <w:sz w:val="22"/>
          <w:szCs w:val="22"/>
        </w:rPr>
        <w:t>Beneficiario preferente</w:t>
      </w:r>
      <w:r w:rsidRPr="005316ED">
        <w:rPr>
          <w:rFonts w:ascii="Arial" w:hAnsi="Arial" w:cs="Arial"/>
          <w:sz w:val="22"/>
          <w:szCs w:val="22"/>
        </w:rPr>
        <w:t>: En caso de siniestro en la unidad de 3 ½ toneladas que amerite indemnización bajo el amparo de los bienes cubiertos por la póliza a la cual se agrega la presente clausula y una vez ajustada la cantidad a indemnizar, las perdidas y/o daños serán pagaderos de manera preferente a la Secretaria de Hacienda Pública hasta por el interés asegurable que le corresponda.</w:t>
      </w:r>
    </w:p>
    <w:p w14:paraId="73B50B23" w14:textId="2B219B09" w:rsidR="00F45AC5" w:rsidRPr="00B02BCF" w:rsidRDefault="00F45AC5" w:rsidP="005316ED">
      <w:pPr>
        <w:rPr>
          <w:rFonts w:ascii="Arial" w:hAnsi="Arial" w:cs="Arial"/>
          <w:color w:val="5C6B7E"/>
          <w:sz w:val="22"/>
          <w:szCs w:val="22"/>
          <w:lang w:val="es-MX" w:eastAsia="es-MX"/>
        </w:rPr>
      </w:pPr>
    </w:p>
    <w:p w14:paraId="75BED943" w14:textId="77777777" w:rsidR="00F45AC5" w:rsidRPr="005316ED" w:rsidRDefault="00F45AC5" w:rsidP="005316ED">
      <w:pPr>
        <w:pStyle w:val="Prrafodelista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316ED">
        <w:rPr>
          <w:rFonts w:ascii="Arial" w:hAnsi="Arial" w:cs="Arial"/>
          <w:b/>
          <w:color w:val="000000" w:themeColor="text1"/>
          <w:sz w:val="22"/>
          <w:szCs w:val="22"/>
          <w:lang w:val="es-MX" w:eastAsia="es-MX"/>
        </w:rPr>
        <w:t xml:space="preserve">Cobertura automática: </w:t>
      </w:r>
      <w:r w:rsidRPr="005316ED">
        <w:rPr>
          <w:rFonts w:ascii="Arial" w:hAnsi="Arial" w:cs="Arial"/>
          <w:sz w:val="22"/>
          <w:szCs w:val="22"/>
        </w:rPr>
        <w:t>Quedan cubiertas todas aquellas unidades que fueron adquiridas o adjudicadas en un periodo de 45 días naturales a partir de su adquisición o adjudicación, tiempo necesario para notificarse a la compañía por parte del asegurado.</w:t>
      </w:r>
    </w:p>
    <w:p w14:paraId="5C1B5FC5" w14:textId="4345743F" w:rsidR="00F45AC5" w:rsidRPr="00B02BCF" w:rsidRDefault="00F45AC5" w:rsidP="00F45AC5">
      <w:pPr>
        <w:jc w:val="both"/>
        <w:rPr>
          <w:rFonts w:ascii="Arial" w:hAnsi="Arial" w:cs="Arial"/>
          <w:sz w:val="22"/>
          <w:szCs w:val="22"/>
        </w:rPr>
      </w:pPr>
    </w:p>
    <w:p w14:paraId="1F235C92" w14:textId="2AB1284B" w:rsidR="00F45AC5" w:rsidRPr="00B02BCF" w:rsidRDefault="00F45AC5" w:rsidP="00F45AC5">
      <w:pPr>
        <w:widowControl w:val="0"/>
        <w:tabs>
          <w:tab w:val="left" w:pos="820"/>
        </w:tabs>
        <w:autoSpaceDE w:val="0"/>
        <w:autoSpaceDN w:val="0"/>
        <w:adjustRightInd w:val="0"/>
        <w:spacing w:before="14" w:line="260" w:lineRule="exact"/>
        <w:ind w:right="57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 xml:space="preserve">La </w:t>
      </w:r>
      <w:r w:rsidR="005316ED">
        <w:rPr>
          <w:rFonts w:ascii="Arial" w:hAnsi="Arial" w:cs="Arial"/>
          <w:sz w:val="22"/>
          <w:szCs w:val="22"/>
        </w:rPr>
        <w:t>reparación de vehículos modelos</w:t>
      </w:r>
      <w:r w:rsidRPr="00B02BCF">
        <w:rPr>
          <w:rFonts w:ascii="Arial" w:hAnsi="Arial" w:cs="Arial"/>
          <w:sz w:val="22"/>
          <w:szCs w:val="22"/>
        </w:rPr>
        <w:t xml:space="preserve"> 2023, 2020, 2017, 2016</w:t>
      </w:r>
      <w:r w:rsidR="005316ED">
        <w:rPr>
          <w:rFonts w:ascii="Arial" w:hAnsi="Arial" w:cs="Arial"/>
          <w:sz w:val="22"/>
          <w:szCs w:val="22"/>
        </w:rPr>
        <w:t>, 2015, 2013, 2012, 2011 y 2006</w:t>
      </w:r>
      <w:r w:rsidRPr="00B02BCF">
        <w:rPr>
          <w:rFonts w:ascii="Arial" w:hAnsi="Arial" w:cs="Arial"/>
          <w:sz w:val="22"/>
          <w:szCs w:val="22"/>
        </w:rPr>
        <w:t xml:space="preserve"> se realizarán en los talleres de las agencias distribuidoras de vehículos nuevos de la marca correspondiente que estén en convenio con la compañía aseguradora adjudicada.</w:t>
      </w:r>
    </w:p>
    <w:p w14:paraId="0EB38F5F" w14:textId="2D7056B4" w:rsidR="0084106E" w:rsidRPr="003F7CDB" w:rsidRDefault="0084106E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625A6170" w14:textId="1831250D" w:rsidR="00A65637" w:rsidRDefault="00A65637" w:rsidP="000838A3">
      <w:pPr>
        <w:spacing w:before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 w:rsidR="002360AD" w:rsidRPr="004878DC">
        <w:rPr>
          <w:rFonts w:ascii="Arial" w:eastAsia="Arial" w:hAnsi="Arial" w:cs="Arial"/>
          <w:b/>
        </w:rPr>
        <w:t>Especificaciones del servicio requerido:</w:t>
      </w:r>
    </w:p>
    <w:p w14:paraId="3067224A" w14:textId="039D301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404A8AAB" w14:textId="6BD4E28C" w:rsidR="00F45AC5" w:rsidRDefault="00F45AC5" w:rsidP="005316ED">
      <w:pPr>
        <w:spacing w:before="100"/>
        <w:jc w:val="center"/>
        <w:rPr>
          <w:rFonts w:ascii="Arial" w:eastAsia="Arial" w:hAnsi="Arial" w:cs="Arial"/>
          <w:b/>
        </w:rPr>
      </w:pPr>
      <w:r w:rsidRPr="00B02BC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6103FA9C" wp14:editId="234A553C">
            <wp:extent cx="5612130" cy="5458093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12D7C" w14:textId="77777777" w:rsidR="00F45AC5" w:rsidRDefault="00F45AC5" w:rsidP="004041EE">
      <w:pPr>
        <w:spacing w:before="100"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4321D335" w14:textId="77777777" w:rsidR="005316ED" w:rsidRDefault="00F45AC5" w:rsidP="00F45AC5">
      <w:pPr>
        <w:pStyle w:val="Prrafodelista"/>
        <w:numPr>
          <w:ilvl w:val="0"/>
          <w:numId w:val="11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Cuando el vehículo no aparezca en las guías EBC y/o autométrica se tomará como valor comercial el propuesto por la compañía aseguradora previo acuerdo con la convocante.</w:t>
      </w:r>
    </w:p>
    <w:p w14:paraId="68686B63" w14:textId="487171A6" w:rsidR="00F45AC5" w:rsidRPr="00B02BCF" w:rsidRDefault="00F45AC5" w:rsidP="005316ED">
      <w:pPr>
        <w:pStyle w:val="Prrafodelista"/>
        <w:spacing w:before="100"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 xml:space="preserve"> </w:t>
      </w:r>
    </w:p>
    <w:p w14:paraId="04620E01" w14:textId="4AF6556F" w:rsidR="005316ED" w:rsidRPr="005316ED" w:rsidRDefault="00F45AC5" w:rsidP="005316ED">
      <w:pPr>
        <w:pStyle w:val="Prrafodelista"/>
        <w:numPr>
          <w:ilvl w:val="0"/>
          <w:numId w:val="11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b/>
          <w:sz w:val="22"/>
          <w:szCs w:val="22"/>
        </w:rPr>
        <w:t>Territorialidad</w:t>
      </w:r>
      <w:r w:rsidRPr="00B02BCF">
        <w:rPr>
          <w:rFonts w:ascii="Arial" w:hAnsi="Arial" w:cs="Arial"/>
          <w:sz w:val="22"/>
          <w:szCs w:val="22"/>
        </w:rPr>
        <w:t xml:space="preserve">: La aplicación de las coberturas amparadas se extiende a todas las entidades federativas y municipios que conforman el territorio nacional. </w:t>
      </w:r>
    </w:p>
    <w:p w14:paraId="4180C713" w14:textId="77777777" w:rsidR="005316ED" w:rsidRPr="005316ED" w:rsidRDefault="005316ED" w:rsidP="005316ED">
      <w:pPr>
        <w:pStyle w:val="Prrafodelista"/>
        <w:spacing w:before="100"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40C6811" w14:textId="402DE337" w:rsidR="005316ED" w:rsidRPr="005316ED" w:rsidRDefault="00F45AC5" w:rsidP="005316E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/>
        <w:ind w:right="62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b/>
          <w:bCs/>
          <w:sz w:val="22"/>
          <w:szCs w:val="22"/>
        </w:rPr>
        <w:t>G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as</w:t>
      </w:r>
      <w:r w:rsidRPr="00B02BCF">
        <w:rPr>
          <w:rFonts w:ascii="Arial" w:hAnsi="Arial" w:cs="Arial"/>
          <w:b/>
          <w:bCs/>
          <w:sz w:val="22"/>
          <w:szCs w:val="22"/>
        </w:rPr>
        <w:t>t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B02BCF">
        <w:rPr>
          <w:rFonts w:ascii="Arial" w:hAnsi="Arial" w:cs="Arial"/>
          <w:b/>
          <w:bCs/>
          <w:sz w:val="22"/>
          <w:szCs w:val="22"/>
        </w:rPr>
        <w:t>s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-2"/>
          <w:sz w:val="22"/>
          <w:szCs w:val="22"/>
        </w:rPr>
        <w:t>m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é</w:t>
      </w:r>
      <w:r w:rsidRPr="00B02BCF">
        <w:rPr>
          <w:rFonts w:ascii="Arial" w:hAnsi="Arial" w:cs="Arial"/>
          <w:b/>
          <w:bCs/>
          <w:sz w:val="22"/>
          <w:szCs w:val="22"/>
        </w:rPr>
        <w:t>di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B02BCF">
        <w:rPr>
          <w:rFonts w:ascii="Arial" w:hAnsi="Arial" w:cs="Arial"/>
          <w:b/>
          <w:bCs/>
          <w:sz w:val="22"/>
          <w:szCs w:val="22"/>
        </w:rPr>
        <w:t>os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B02BCF">
        <w:rPr>
          <w:rFonts w:ascii="Arial" w:hAnsi="Arial" w:cs="Arial"/>
          <w:b/>
          <w:bCs/>
          <w:sz w:val="22"/>
          <w:szCs w:val="22"/>
        </w:rPr>
        <w:t>n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 xml:space="preserve"> e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xc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es</w:t>
      </w:r>
      <w:r w:rsidRPr="00B02BCF">
        <w:rPr>
          <w:rFonts w:ascii="Arial" w:hAnsi="Arial" w:cs="Arial"/>
          <w:b/>
          <w:bCs/>
          <w:sz w:val="22"/>
          <w:szCs w:val="22"/>
        </w:rPr>
        <w:t xml:space="preserve">o: </w:t>
      </w:r>
      <w:r w:rsidRPr="00B02BCF">
        <w:rPr>
          <w:rFonts w:ascii="Arial" w:hAnsi="Arial" w:cs="Arial"/>
          <w:sz w:val="22"/>
          <w:szCs w:val="22"/>
        </w:rPr>
        <w:t xml:space="preserve">Opera después de agotarse la cobertura hasta la suma máxima por evento y por ocupante, de $600,000.00 M.N. y con un límite máximo anual de $1´000,000.00 M.N. sin aplicación de ningún deducible o coaseguro. </w:t>
      </w:r>
    </w:p>
    <w:p w14:paraId="779D2E76" w14:textId="77777777" w:rsidR="005316ED" w:rsidRPr="00B02BCF" w:rsidRDefault="005316ED" w:rsidP="005316ED">
      <w:pPr>
        <w:pStyle w:val="Prrafodelista"/>
        <w:widowControl w:val="0"/>
        <w:autoSpaceDE w:val="0"/>
        <w:autoSpaceDN w:val="0"/>
        <w:adjustRightInd w:val="0"/>
        <w:spacing w:before="100"/>
        <w:ind w:left="360" w:right="62"/>
        <w:jc w:val="both"/>
        <w:rPr>
          <w:rFonts w:ascii="Arial" w:hAnsi="Arial" w:cs="Arial"/>
          <w:sz w:val="22"/>
          <w:szCs w:val="22"/>
        </w:rPr>
      </w:pPr>
    </w:p>
    <w:p w14:paraId="73B524C3" w14:textId="3F2169F2" w:rsidR="005316ED" w:rsidRPr="005316ED" w:rsidRDefault="00F45AC5" w:rsidP="005316E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/>
        <w:ind w:right="62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b/>
          <w:sz w:val="22"/>
          <w:szCs w:val="22"/>
        </w:rPr>
        <w:t>Asistencia jurídica</w:t>
      </w:r>
      <w:r w:rsidRPr="00B02BCF">
        <w:rPr>
          <w:rFonts w:ascii="Arial" w:hAnsi="Arial" w:cs="Arial"/>
          <w:sz w:val="22"/>
          <w:szCs w:val="22"/>
        </w:rPr>
        <w:t>: Se acepta que el asegurado pueda contratar en forma directa la compañía afianzadora y su cobertura.</w:t>
      </w:r>
    </w:p>
    <w:p w14:paraId="3705C722" w14:textId="77777777" w:rsidR="005316ED" w:rsidRPr="005316ED" w:rsidRDefault="005316ED" w:rsidP="005316ED">
      <w:pPr>
        <w:pStyle w:val="Prrafodelista"/>
        <w:widowControl w:val="0"/>
        <w:autoSpaceDE w:val="0"/>
        <w:autoSpaceDN w:val="0"/>
        <w:adjustRightInd w:val="0"/>
        <w:spacing w:before="100"/>
        <w:ind w:left="360" w:right="62"/>
        <w:jc w:val="both"/>
        <w:rPr>
          <w:rFonts w:ascii="Arial" w:hAnsi="Arial" w:cs="Arial"/>
          <w:sz w:val="22"/>
          <w:szCs w:val="22"/>
        </w:rPr>
      </w:pPr>
    </w:p>
    <w:p w14:paraId="3BB435DE" w14:textId="1027F6B6" w:rsidR="005316ED" w:rsidRPr="005316ED" w:rsidRDefault="00F45AC5" w:rsidP="005316E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b/>
          <w:sz w:val="22"/>
          <w:szCs w:val="22"/>
        </w:rPr>
        <w:t>Robo de Autopartes:</w:t>
      </w:r>
      <w:r w:rsidRPr="00B02BCF">
        <w:rPr>
          <w:rFonts w:ascii="Arial" w:hAnsi="Arial" w:cs="Arial"/>
          <w:sz w:val="22"/>
          <w:szCs w:val="22"/>
        </w:rPr>
        <w:t xml:space="preserve"> Se considerará el robo de autopartes cualquier parte de la unidad </w:t>
      </w:r>
      <w:r w:rsidRPr="00B02BCF">
        <w:rPr>
          <w:rFonts w:ascii="Arial" w:hAnsi="Arial" w:cs="Arial"/>
          <w:sz w:val="22"/>
          <w:szCs w:val="22"/>
        </w:rPr>
        <w:lastRenderedPageBreak/>
        <w:t>asegurada. La aseguradora está obligada en reponer la o las partes que conforman la unidad. El asegurado pagara el 10% del valor de la pieza sustraída.</w:t>
      </w:r>
    </w:p>
    <w:p w14:paraId="568EB4A0" w14:textId="77777777" w:rsidR="005316ED" w:rsidRPr="005316ED" w:rsidRDefault="005316ED" w:rsidP="005316ED">
      <w:pPr>
        <w:pStyle w:val="Prrafodelista"/>
        <w:widowControl w:val="0"/>
        <w:autoSpaceDE w:val="0"/>
        <w:autoSpaceDN w:val="0"/>
        <w:adjustRightInd w:val="0"/>
        <w:spacing w:before="17" w:line="26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1C22CAB2" w14:textId="77777777" w:rsidR="00F45AC5" w:rsidRPr="00B02BCF" w:rsidRDefault="00F45AC5" w:rsidP="00F45AC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b/>
          <w:bCs/>
          <w:spacing w:val="1"/>
          <w:sz w:val="22"/>
          <w:szCs w:val="22"/>
        </w:rPr>
        <w:t>Se</w:t>
      </w:r>
      <w:r w:rsidRPr="00B02BCF">
        <w:rPr>
          <w:rFonts w:ascii="Arial" w:hAnsi="Arial" w:cs="Arial"/>
          <w:b/>
          <w:bCs/>
          <w:sz w:val="22"/>
          <w:szCs w:val="22"/>
        </w:rPr>
        <w:t>guro</w:t>
      </w:r>
      <w:r w:rsidRPr="00B02BCF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z w:val="22"/>
          <w:szCs w:val="22"/>
        </w:rPr>
        <w:t>de</w:t>
      </w:r>
      <w:r w:rsidRPr="00B02BCF">
        <w:rPr>
          <w:rFonts w:ascii="Arial" w:hAnsi="Arial" w:cs="Arial"/>
          <w:b/>
          <w:bCs/>
          <w:spacing w:val="13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v</w:t>
      </w:r>
      <w:r w:rsidRPr="00B02BCF">
        <w:rPr>
          <w:rFonts w:ascii="Arial" w:hAnsi="Arial" w:cs="Arial"/>
          <w:b/>
          <w:bCs/>
          <w:sz w:val="22"/>
          <w:szCs w:val="22"/>
        </w:rPr>
        <w:t>ida</w:t>
      </w:r>
      <w:r w:rsidRPr="00B02BCF">
        <w:rPr>
          <w:rFonts w:ascii="Arial" w:hAnsi="Arial" w:cs="Arial"/>
          <w:b/>
          <w:bCs/>
          <w:spacing w:val="16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-3"/>
          <w:sz w:val="22"/>
          <w:szCs w:val="22"/>
        </w:rPr>
        <w:t>d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B02BCF">
        <w:rPr>
          <w:rFonts w:ascii="Arial" w:hAnsi="Arial" w:cs="Arial"/>
          <w:b/>
          <w:bCs/>
          <w:spacing w:val="2"/>
          <w:sz w:val="22"/>
          <w:szCs w:val="22"/>
        </w:rPr>
        <w:t xml:space="preserve">l </w:t>
      </w:r>
      <w:r w:rsidRPr="00B02BCF">
        <w:rPr>
          <w:rFonts w:ascii="Arial" w:hAnsi="Arial" w:cs="Arial"/>
          <w:b/>
          <w:bCs/>
          <w:sz w:val="22"/>
          <w:szCs w:val="22"/>
        </w:rPr>
        <w:t>(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B02BCF">
        <w:rPr>
          <w:rFonts w:ascii="Arial" w:hAnsi="Arial" w:cs="Arial"/>
          <w:b/>
          <w:bCs/>
          <w:sz w:val="22"/>
          <w:szCs w:val="22"/>
        </w:rPr>
        <w:t>e</w:t>
      </w:r>
      <w:r w:rsidRPr="00B02BCF">
        <w:rPr>
          <w:rFonts w:ascii="Arial" w:hAnsi="Arial" w:cs="Arial"/>
          <w:b/>
          <w:bCs/>
          <w:spacing w:val="12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-2"/>
          <w:sz w:val="22"/>
          <w:szCs w:val="22"/>
        </w:rPr>
        <w:t>l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B02BCF">
        <w:rPr>
          <w:rFonts w:ascii="Arial" w:hAnsi="Arial" w:cs="Arial"/>
          <w:b/>
          <w:bCs/>
          <w:sz w:val="22"/>
          <w:szCs w:val="22"/>
        </w:rPr>
        <w:t>)</w:t>
      </w:r>
      <w:r w:rsidRPr="00B02BCF">
        <w:rPr>
          <w:rFonts w:ascii="Arial" w:hAnsi="Arial" w:cs="Arial"/>
          <w:b/>
          <w:bCs/>
          <w:spacing w:val="14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B02BCF">
        <w:rPr>
          <w:rFonts w:ascii="Arial" w:hAnsi="Arial" w:cs="Arial"/>
          <w:b/>
          <w:bCs/>
          <w:sz w:val="22"/>
          <w:szCs w:val="22"/>
        </w:rPr>
        <w:t>on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B02BCF">
        <w:rPr>
          <w:rFonts w:ascii="Arial" w:hAnsi="Arial" w:cs="Arial"/>
          <w:b/>
          <w:bCs/>
          <w:sz w:val="22"/>
          <w:szCs w:val="22"/>
        </w:rPr>
        <w:t xml:space="preserve">uctor(a) </w:t>
      </w:r>
      <w:r w:rsidRPr="00B02BCF">
        <w:rPr>
          <w:rFonts w:ascii="Arial" w:hAnsi="Arial" w:cs="Arial"/>
          <w:b/>
          <w:bCs/>
          <w:color w:val="000000" w:themeColor="text1"/>
          <w:sz w:val="22"/>
          <w:szCs w:val="22"/>
        </w:rPr>
        <w:t>y ocupante(s):</w:t>
      </w:r>
      <w:r w:rsidRPr="00B02BC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B02BCF">
        <w:rPr>
          <w:rFonts w:ascii="Arial" w:hAnsi="Arial" w:cs="Arial"/>
          <w:sz w:val="22"/>
          <w:szCs w:val="22"/>
        </w:rPr>
        <w:t>En el caso de un accidente donde el(la) conductor(a) y ocupante(s) de la unidad fallezca(n), estará(n) cubierto por $200,000.00 m.n. (se refiere a la cobertura de muerte accidental del (de la) conductor(a), debiendo siempre ser especificado en el resguardo del vehículo, quién es el beneficiario designado por el conductor(a) y ocupante(s) que lo acompañe (n).</w:t>
      </w:r>
    </w:p>
    <w:p w14:paraId="7DC6CDD3" w14:textId="77777777" w:rsidR="00F45AC5" w:rsidRPr="00102065" w:rsidRDefault="00F45AC5" w:rsidP="00F45AC5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2"/>
          <w:szCs w:val="22"/>
        </w:rPr>
      </w:pPr>
    </w:p>
    <w:p w14:paraId="4ED31C93" w14:textId="77777777" w:rsidR="00F45AC5" w:rsidRPr="00B02BCF" w:rsidRDefault="00F45AC5" w:rsidP="00F45AC5">
      <w:pPr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La compañía de seguros pagará el 100% de las pérdidas registradas durante la vigencia de la póliza, sin aplicación de proporcionalidad alguna arriba de los deducibles y coaseguros, hasta el valor del vehículo dañado, pero sin rebasar el límite y sub límite de la tabla de coberturas.</w:t>
      </w:r>
    </w:p>
    <w:p w14:paraId="21D6125C" w14:textId="77777777" w:rsidR="005316ED" w:rsidRDefault="005316ED" w:rsidP="00F45AC5">
      <w:pPr>
        <w:jc w:val="both"/>
        <w:rPr>
          <w:rFonts w:ascii="Arial" w:hAnsi="Arial" w:cs="Arial"/>
          <w:sz w:val="22"/>
          <w:szCs w:val="22"/>
        </w:rPr>
      </w:pPr>
    </w:p>
    <w:p w14:paraId="13FC163C" w14:textId="68ABCCA0" w:rsidR="00F45AC5" w:rsidRPr="00B02BCF" w:rsidRDefault="00F45AC5" w:rsidP="00F45AC5">
      <w:pPr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Durante la vigencia de la póliza de seguro, resultado de la presente licitación, no se cobrará los siguientes conceptos:</w:t>
      </w:r>
    </w:p>
    <w:p w14:paraId="48EDC5AD" w14:textId="77777777" w:rsidR="00F45AC5" w:rsidRPr="00B02BCF" w:rsidRDefault="00F45AC5" w:rsidP="00F45AC5">
      <w:pPr>
        <w:pStyle w:val="Prrafodelista"/>
        <w:numPr>
          <w:ilvl w:val="0"/>
          <w:numId w:val="12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Altas posteriores al inicio de la vigencia de nuevos bienes asegurados (refriéndose al derecho de póliza);</w:t>
      </w:r>
    </w:p>
    <w:p w14:paraId="64C55B6E" w14:textId="77777777" w:rsidR="00F45AC5" w:rsidRPr="00B02BCF" w:rsidRDefault="00F45AC5" w:rsidP="00F45AC5">
      <w:pPr>
        <w:pStyle w:val="Prrafodelista"/>
        <w:numPr>
          <w:ilvl w:val="0"/>
          <w:numId w:val="12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 xml:space="preserve">Reexpedición de pólizas; y </w:t>
      </w:r>
    </w:p>
    <w:p w14:paraId="02518626" w14:textId="77777777" w:rsidR="00F45AC5" w:rsidRPr="00B02BCF" w:rsidRDefault="00F45AC5" w:rsidP="00F45AC5">
      <w:pPr>
        <w:pStyle w:val="Prrafodelista"/>
        <w:numPr>
          <w:ilvl w:val="0"/>
          <w:numId w:val="12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Duplicados de pólizas.</w:t>
      </w:r>
    </w:p>
    <w:p w14:paraId="0C940499" w14:textId="77777777" w:rsidR="00F45AC5" w:rsidRPr="00B02BCF" w:rsidRDefault="00F45AC5" w:rsidP="00F45A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z w:val="22"/>
          <w:szCs w:val="22"/>
        </w:rPr>
        <w:t>Liquid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B02BCF">
        <w:rPr>
          <w:rFonts w:ascii="Arial" w:hAnsi="Arial" w:cs="Arial"/>
          <w:b/>
          <w:bCs/>
          <w:sz w:val="22"/>
          <w:szCs w:val="22"/>
        </w:rPr>
        <w:t>ión</w:t>
      </w:r>
      <w:r w:rsidRPr="00B02BCF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z w:val="22"/>
          <w:szCs w:val="22"/>
        </w:rPr>
        <w:t>de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-2"/>
          <w:sz w:val="22"/>
          <w:szCs w:val="22"/>
        </w:rPr>
        <w:t>p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é</w:t>
      </w:r>
      <w:r w:rsidRPr="00B02BCF">
        <w:rPr>
          <w:rFonts w:ascii="Arial" w:hAnsi="Arial" w:cs="Arial"/>
          <w:b/>
          <w:bCs/>
          <w:sz w:val="22"/>
          <w:szCs w:val="22"/>
        </w:rPr>
        <w:t>rdi</w:t>
      </w:r>
      <w:r w:rsidRPr="00B02BCF"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B02BCF">
        <w:rPr>
          <w:rFonts w:ascii="Arial" w:hAnsi="Arial" w:cs="Arial"/>
          <w:b/>
          <w:bCs/>
          <w:sz w:val="22"/>
          <w:szCs w:val="22"/>
        </w:rPr>
        <w:t>s</w:t>
      </w:r>
      <w:r w:rsidRPr="00B02BCF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z w:val="22"/>
          <w:szCs w:val="22"/>
        </w:rPr>
        <w:t>y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B02BCF">
        <w:rPr>
          <w:rFonts w:ascii="Arial" w:hAnsi="Arial" w:cs="Arial"/>
          <w:b/>
          <w:bCs/>
          <w:sz w:val="22"/>
          <w:szCs w:val="22"/>
        </w:rPr>
        <w:t>ten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B02BCF">
        <w:rPr>
          <w:rFonts w:ascii="Arial" w:hAnsi="Arial" w:cs="Arial"/>
          <w:b/>
          <w:bCs/>
          <w:sz w:val="22"/>
          <w:szCs w:val="22"/>
        </w:rPr>
        <w:t>ión</w:t>
      </w:r>
      <w:r w:rsidRPr="00B02BCF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z w:val="22"/>
          <w:szCs w:val="22"/>
        </w:rPr>
        <w:t>de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B02BC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B02BCF">
        <w:rPr>
          <w:rFonts w:ascii="Arial" w:hAnsi="Arial" w:cs="Arial"/>
          <w:b/>
          <w:bCs/>
          <w:sz w:val="22"/>
          <w:szCs w:val="22"/>
        </w:rPr>
        <w:t>ini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es</w:t>
      </w:r>
      <w:r w:rsidRPr="00B02BCF">
        <w:rPr>
          <w:rFonts w:ascii="Arial" w:hAnsi="Arial" w:cs="Arial"/>
          <w:b/>
          <w:bCs/>
          <w:sz w:val="22"/>
          <w:szCs w:val="22"/>
        </w:rPr>
        <w:t>tr</w:t>
      </w:r>
      <w:r w:rsidRPr="00B02BCF">
        <w:rPr>
          <w:rFonts w:ascii="Arial" w:hAnsi="Arial" w:cs="Arial"/>
          <w:b/>
          <w:bCs/>
          <w:spacing w:val="-3"/>
          <w:sz w:val="22"/>
          <w:szCs w:val="22"/>
        </w:rPr>
        <w:t>o</w:t>
      </w:r>
      <w:r w:rsidRPr="00B02BCF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B02BCF">
        <w:rPr>
          <w:rFonts w:ascii="Arial" w:hAnsi="Arial" w:cs="Arial"/>
          <w:b/>
          <w:bCs/>
          <w:sz w:val="22"/>
          <w:szCs w:val="22"/>
        </w:rPr>
        <w:t>:</w:t>
      </w:r>
    </w:p>
    <w:p w14:paraId="25811C2E" w14:textId="77777777" w:rsidR="00F45AC5" w:rsidRPr="00B02BCF" w:rsidRDefault="00F45AC5" w:rsidP="00F45AC5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2"/>
          <w:szCs w:val="22"/>
        </w:rPr>
      </w:pPr>
    </w:p>
    <w:p w14:paraId="6522DCD4" w14:textId="77777777" w:rsidR="00F45AC5" w:rsidRPr="00B02BCF" w:rsidRDefault="00F45AC5" w:rsidP="00F45AC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Se pagará un 15% adicional al precio de venta establecido en las guías EBC y/o autométrica a la fecha del siniestro, por concepto de robo total o pérdida total por daños materiales.</w:t>
      </w:r>
    </w:p>
    <w:p w14:paraId="057E9097" w14:textId="77777777" w:rsidR="00F45AC5" w:rsidRPr="00B02BCF" w:rsidRDefault="00F45AC5" w:rsidP="00F45AC5">
      <w:pPr>
        <w:pStyle w:val="Prrafodelista"/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sz w:val="22"/>
          <w:szCs w:val="22"/>
        </w:rPr>
      </w:pPr>
    </w:p>
    <w:p w14:paraId="637DAB4C" w14:textId="77777777" w:rsidR="00F45AC5" w:rsidRPr="00B02BCF" w:rsidRDefault="00F45AC5" w:rsidP="00F45AC5">
      <w:pPr>
        <w:pStyle w:val="Prrafodelista"/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before="100"/>
        <w:ind w:right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Pago de deducibles:</w:t>
      </w:r>
      <w:r w:rsidRPr="00B02BCF">
        <w:rPr>
          <w:rFonts w:ascii="Arial" w:hAnsi="Arial" w:cs="Arial"/>
          <w:sz w:val="22"/>
          <w:szCs w:val="22"/>
        </w:rPr>
        <w:t xml:space="preserve"> cuando ocurra un siniestro con costo de deducible, no siendo culpable el beneficiario del seguro (el asegurado), según apreciación del ajustador y el siniestro se vaya a juicio para su recuperación, éste no será pagado por el beneficiario del seguro.</w:t>
      </w:r>
    </w:p>
    <w:p w14:paraId="67217685" w14:textId="77777777" w:rsidR="00F45AC5" w:rsidRPr="00B02BCF" w:rsidRDefault="00F45AC5" w:rsidP="00F45AC5">
      <w:pPr>
        <w:pStyle w:val="Prrafodelista"/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sz w:val="22"/>
          <w:szCs w:val="22"/>
        </w:rPr>
      </w:pPr>
    </w:p>
    <w:p w14:paraId="09CCCC73" w14:textId="77777777" w:rsidR="00F45AC5" w:rsidRPr="00B02BCF" w:rsidRDefault="00F45AC5" w:rsidP="00F45AC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line="239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En el caso de pérdida total en el que el asegurado no pueda acreditar la propiedad de la unidad siniestrada y que gocen de cobertura amplia, la aseguradora acepta pagar el 100 % del valor del automóvil con base a las guías EBC y a la guía autométrica quedándose la aseguradora con los restos.</w:t>
      </w:r>
    </w:p>
    <w:p w14:paraId="10CBFC1F" w14:textId="77777777" w:rsidR="00F45AC5" w:rsidRPr="00B02BCF" w:rsidRDefault="00F45AC5" w:rsidP="00F45AC5">
      <w:pPr>
        <w:widowControl w:val="0"/>
        <w:autoSpaceDE w:val="0"/>
        <w:autoSpaceDN w:val="0"/>
        <w:adjustRightInd w:val="0"/>
        <w:spacing w:line="239" w:lineRule="auto"/>
        <w:ind w:right="57"/>
        <w:jc w:val="both"/>
        <w:rPr>
          <w:rFonts w:ascii="Arial" w:hAnsi="Arial" w:cs="Arial"/>
          <w:sz w:val="22"/>
          <w:szCs w:val="22"/>
        </w:rPr>
      </w:pPr>
    </w:p>
    <w:p w14:paraId="7C93E868" w14:textId="77777777" w:rsidR="00F45AC5" w:rsidRPr="00B02BCF" w:rsidRDefault="00F45AC5" w:rsidP="00F45AC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line="274" w:lineRule="exact"/>
        <w:ind w:right="58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En el caso de pérdidas totales o robos, solo con presentar los últimos 5 pagos del refrendo vehicular, o con una carta certificada por la agencia donde se adquirió la(s) unidad(es) con la que acredite será suficiente para que se efectúe el pago por parte de la aseguradora.</w:t>
      </w:r>
    </w:p>
    <w:p w14:paraId="5147D1FF" w14:textId="77777777" w:rsidR="00F45AC5" w:rsidRPr="00B02BCF" w:rsidRDefault="00F45AC5" w:rsidP="00F45AC5">
      <w:pPr>
        <w:pStyle w:val="Prrafodelista"/>
        <w:widowControl w:val="0"/>
        <w:autoSpaceDE w:val="0"/>
        <w:autoSpaceDN w:val="0"/>
        <w:adjustRightInd w:val="0"/>
        <w:spacing w:line="274" w:lineRule="exact"/>
        <w:ind w:right="58"/>
        <w:jc w:val="both"/>
        <w:rPr>
          <w:rFonts w:ascii="Arial" w:hAnsi="Arial" w:cs="Arial"/>
          <w:sz w:val="22"/>
          <w:szCs w:val="22"/>
        </w:rPr>
      </w:pPr>
    </w:p>
    <w:p w14:paraId="4B4FF2FC" w14:textId="77777777" w:rsidR="00F45AC5" w:rsidRPr="00B02BCF" w:rsidRDefault="00F45AC5" w:rsidP="00F45AC5">
      <w:pPr>
        <w:pStyle w:val="Prrafodelista"/>
        <w:numPr>
          <w:ilvl w:val="0"/>
          <w:numId w:val="13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Para las unidades de 3 ½ toneladas el conductor deberá contar con licencia de automovilista o chofer para cumplir con los términos de la póliza operando íntegramente la cobertura.</w:t>
      </w:r>
    </w:p>
    <w:p w14:paraId="55299519" w14:textId="77777777" w:rsidR="00F45AC5" w:rsidRPr="00B02BCF" w:rsidRDefault="00F45AC5" w:rsidP="00F45AC5">
      <w:pPr>
        <w:pStyle w:val="Prrafodelista"/>
        <w:rPr>
          <w:rFonts w:ascii="Arial" w:hAnsi="Arial" w:cs="Arial"/>
          <w:sz w:val="22"/>
          <w:szCs w:val="22"/>
        </w:rPr>
      </w:pPr>
    </w:p>
    <w:p w14:paraId="3749BAF9" w14:textId="77777777" w:rsidR="00F45AC5" w:rsidRPr="00B02BCF" w:rsidRDefault="00F45AC5" w:rsidP="00F45AC5">
      <w:pPr>
        <w:pStyle w:val="Prrafodelista"/>
        <w:numPr>
          <w:ilvl w:val="0"/>
          <w:numId w:val="13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 xml:space="preserve">Atención a siniestros por colisión en el lugar mismo de ocurrido, el ajustador de la compañía esté en un tiempo no mayor a 30 minutos después de notificado el siniestro </w:t>
      </w:r>
      <w:r w:rsidRPr="00B02BCF">
        <w:rPr>
          <w:rFonts w:ascii="Arial" w:hAnsi="Arial" w:cs="Arial"/>
          <w:sz w:val="22"/>
          <w:szCs w:val="22"/>
        </w:rPr>
        <w:lastRenderedPageBreak/>
        <w:t>o accidente, para la zona conurbada de Guadalajara; en el resto del Estado o en carreteras o caminos federales, estatales o pequeños poblados en 2 horas como máximo, de lo contrario la compañía de seguros absorberá la cantidad de $100.00 m.n. por cada minuto de retraso en relación al tiempo establecido hasta por un monto máximo de la prima que se le adjudique.</w:t>
      </w:r>
    </w:p>
    <w:p w14:paraId="2296A299" w14:textId="77777777" w:rsidR="00F45AC5" w:rsidRPr="00B02BCF" w:rsidRDefault="00F45AC5" w:rsidP="00F45AC5">
      <w:pPr>
        <w:widowControl w:val="0"/>
        <w:autoSpaceDE w:val="0"/>
        <w:autoSpaceDN w:val="0"/>
        <w:adjustRightInd w:val="0"/>
        <w:ind w:right="55"/>
        <w:jc w:val="both"/>
        <w:rPr>
          <w:rFonts w:ascii="Arial" w:hAnsi="Arial" w:cs="Arial"/>
          <w:b/>
          <w:sz w:val="22"/>
          <w:szCs w:val="22"/>
        </w:rPr>
      </w:pPr>
      <w:r w:rsidRPr="00B02BCF">
        <w:rPr>
          <w:rFonts w:ascii="Arial" w:hAnsi="Arial" w:cs="Arial"/>
          <w:b/>
          <w:sz w:val="22"/>
          <w:szCs w:val="22"/>
        </w:rPr>
        <w:t xml:space="preserve">El adjudicado deberá cumplir las siguientes condiciones de servicio: </w:t>
      </w:r>
    </w:p>
    <w:p w14:paraId="07E88DA5" w14:textId="6F46AC56" w:rsidR="00F45AC5" w:rsidRPr="005316ED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  <w:sz w:val="22"/>
          <w:szCs w:val="22"/>
        </w:rPr>
      </w:pPr>
      <w:r w:rsidRPr="005316ED">
        <w:rPr>
          <w:rFonts w:ascii="Arial" w:hAnsi="Arial" w:cs="Arial"/>
          <w:sz w:val="22"/>
          <w:szCs w:val="22"/>
        </w:rPr>
        <w:t>Mantener actualizado el padrón de vehículos, siendo obligación de la Auditoría Superior del Estado de Jalisco proporcionar las altas y bajas en tiempo y forma a través de la jefatura de Recursos Materiales de la Dirección General de Administración, de la Auditoría Superior del Estado de Jalisco, así como el de conciliar las altas y bajas, en los archivos correspondientes padrón vehicular con dicha jefatura.</w:t>
      </w:r>
    </w:p>
    <w:p w14:paraId="7F8EA00B" w14:textId="77777777" w:rsidR="00F45AC5" w:rsidRPr="00B02BCF" w:rsidRDefault="00F45AC5" w:rsidP="00F45AC5">
      <w:pPr>
        <w:pStyle w:val="Prrafodelista"/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sz w:val="22"/>
          <w:szCs w:val="22"/>
        </w:rPr>
      </w:pPr>
    </w:p>
    <w:p w14:paraId="1D9ED38A" w14:textId="77777777" w:rsidR="00F45AC5" w:rsidRPr="00B02BCF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Entregar por cada vehículo dos tantos de la póliza en original, las condiciones generales del seguro y lista de ajustadores con sus datos.</w:t>
      </w:r>
    </w:p>
    <w:p w14:paraId="71260D40" w14:textId="77777777" w:rsidR="00F45AC5" w:rsidRPr="00B02BCF" w:rsidRDefault="00F45AC5" w:rsidP="00F45AC5">
      <w:pPr>
        <w:pStyle w:val="Prrafodelista"/>
        <w:rPr>
          <w:rFonts w:ascii="Arial" w:hAnsi="Arial" w:cs="Arial"/>
          <w:sz w:val="22"/>
          <w:szCs w:val="22"/>
        </w:rPr>
      </w:pPr>
    </w:p>
    <w:p w14:paraId="7E9E098D" w14:textId="77777777" w:rsidR="005316ED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Mandar imprimir (sin costo adicional) calcomanías auto-adheribles, las cuales contendrán la siguiente información: el servidor público afectado deberá reportar el siniestro al momento del mismo, a la jefatura de Recursos Materiales, al teléfono 36-79-45-00 ext. 1122 y 1132. Así mismo los teléfonos que designe la compañía de seguros responsable; siempre se debe portar copia de la póliza; el tiempo de cobertura; vigencia de la póliza;</w:t>
      </w:r>
      <w:r w:rsidRPr="00B02BCF">
        <w:rPr>
          <w:rFonts w:ascii="Arial" w:hAnsi="Arial" w:cs="Arial"/>
          <w:spacing w:val="10"/>
          <w:sz w:val="22"/>
          <w:szCs w:val="22"/>
        </w:rPr>
        <w:t xml:space="preserve"> </w:t>
      </w:r>
      <w:r w:rsidRPr="00B02BCF">
        <w:rPr>
          <w:rFonts w:ascii="Arial" w:hAnsi="Arial" w:cs="Arial"/>
          <w:sz w:val="22"/>
          <w:szCs w:val="22"/>
        </w:rPr>
        <w:t xml:space="preserve">datos de ajustadores; no será necesario portar licencia de manejo ni que la misma esté vigente; que no se debe conducir en estado de ebriedad, todos los vehículos y equipos que forman parte de la flotilla de la ASEJ, de modelos </w:t>
      </w:r>
      <w:r w:rsidRPr="0084106E">
        <w:rPr>
          <w:rFonts w:ascii="Arial" w:hAnsi="Arial" w:cs="Arial"/>
          <w:sz w:val="22"/>
          <w:szCs w:val="22"/>
        </w:rPr>
        <w:t>2023, 2020, 2017, 2016, 2015, 2013, 2012, 2011 y 2006</w:t>
      </w:r>
      <w:r w:rsidRPr="00B02BCF">
        <w:rPr>
          <w:rFonts w:ascii="Arial" w:hAnsi="Arial" w:cs="Arial"/>
          <w:sz w:val="22"/>
          <w:szCs w:val="22"/>
        </w:rPr>
        <w:t xml:space="preserve"> deberán contener la leyenda que dichas unidades deberán ser reparadas en las agencias distribuidoras de la marca de los vehículos.</w:t>
      </w:r>
    </w:p>
    <w:p w14:paraId="0FE15053" w14:textId="77777777" w:rsidR="005316ED" w:rsidRPr="005316ED" w:rsidRDefault="005316ED" w:rsidP="005316ED">
      <w:pPr>
        <w:pStyle w:val="Prrafodelista"/>
        <w:rPr>
          <w:rFonts w:ascii="Arial" w:hAnsi="Arial" w:cs="Arial"/>
          <w:sz w:val="22"/>
          <w:szCs w:val="22"/>
        </w:rPr>
      </w:pPr>
    </w:p>
    <w:p w14:paraId="4F8A4A24" w14:textId="77777777" w:rsidR="005316ED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  <w:sz w:val="22"/>
          <w:szCs w:val="22"/>
        </w:rPr>
      </w:pPr>
      <w:r w:rsidRPr="005316ED">
        <w:rPr>
          <w:rFonts w:ascii="Arial" w:hAnsi="Arial" w:cs="Arial"/>
          <w:sz w:val="22"/>
          <w:szCs w:val="22"/>
        </w:rPr>
        <w:t>Entregar las calcomanías antes señaladas dentro de los 15 días naturales contados a partir del día siguiente al fallo de adjudicación a la jefatura de Recursos Materiales del cual se encargará de entregar al área responsable del parque vehicular de la ASEJ, para que éstas sean pegadas en el interior de cada vehículo.</w:t>
      </w:r>
    </w:p>
    <w:p w14:paraId="074B378D" w14:textId="77777777" w:rsidR="005316ED" w:rsidRPr="005316ED" w:rsidRDefault="005316ED" w:rsidP="005316ED">
      <w:pPr>
        <w:pStyle w:val="Prrafodelista"/>
        <w:rPr>
          <w:rFonts w:ascii="Arial" w:hAnsi="Arial" w:cs="Arial"/>
          <w:sz w:val="22"/>
          <w:szCs w:val="22"/>
        </w:rPr>
      </w:pPr>
    </w:p>
    <w:p w14:paraId="019F7992" w14:textId="2501C25E" w:rsidR="00F45AC5" w:rsidRPr="005316ED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  <w:sz w:val="22"/>
          <w:szCs w:val="22"/>
        </w:rPr>
      </w:pPr>
      <w:r w:rsidRPr="005316ED">
        <w:rPr>
          <w:rFonts w:ascii="Arial" w:hAnsi="Arial" w:cs="Arial"/>
          <w:sz w:val="22"/>
          <w:szCs w:val="22"/>
        </w:rPr>
        <w:t>Entregar reportes de siniestralidad y soporte de los mismos a más tardar dentro de los diez primeros días (naturales) de cada mes, por escrito y firmado por el representante de la misma en papel oficial de la compañía aseguradora; estos deberán ser entregados a la Dirección General de Administración de la Auditoría Superior del Estado de Jalisco en los que se contenga la siguiente información: número de placa, número de póliza, inciso afectado, número de siniestro, dependencia que corresponda, fecha y hora de siniestro, lugar del siniestro, riesgo afectado, monto estimado y monto pagado y si está pendiente o finiquitado, de proceder el monto del deducible, de lo contrario la compañía de seguros pagará al asegurado la cantidad de $1,000.00 por cada día de retraso, los cuales serán descontados de las primas correspondientes.</w:t>
      </w:r>
    </w:p>
    <w:p w14:paraId="0CF45776" w14:textId="5C1A3713" w:rsidR="00F45AC5" w:rsidRDefault="00F45AC5" w:rsidP="004041EE">
      <w:pPr>
        <w:spacing w:before="100"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658D5A72" w14:textId="20AAC265" w:rsidR="00F45AC5" w:rsidRPr="00B02BCF" w:rsidRDefault="004041EE" w:rsidP="00F45AC5">
      <w:pPr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b/>
          <w:sz w:val="22"/>
          <w:szCs w:val="22"/>
          <w:lang w:val="es-MX" w:eastAsia="en-US"/>
        </w:rPr>
        <w:t xml:space="preserve">III. </w:t>
      </w:r>
      <w:r w:rsidRPr="004041EE">
        <w:rPr>
          <w:rFonts w:ascii="Arial" w:hAnsi="Arial" w:cs="Arial"/>
          <w:b/>
          <w:sz w:val="22"/>
          <w:szCs w:val="22"/>
        </w:rPr>
        <w:t>Duración del servicio</w:t>
      </w:r>
      <w:r w:rsidRPr="004041EE">
        <w:rPr>
          <w:rFonts w:ascii="Arial" w:hAnsi="Arial" w:cs="Arial"/>
          <w:sz w:val="22"/>
          <w:szCs w:val="22"/>
        </w:rPr>
        <w:t>:</w:t>
      </w:r>
      <w:r w:rsidR="00F45AC5" w:rsidRPr="00F45AC5">
        <w:rPr>
          <w:rFonts w:ascii="Arial" w:hAnsi="Arial" w:cs="Arial"/>
          <w:sz w:val="22"/>
          <w:szCs w:val="22"/>
          <w:lang w:eastAsia="es-MX"/>
        </w:rPr>
        <w:t xml:space="preserve"> </w:t>
      </w:r>
      <w:r w:rsidR="00F45AC5">
        <w:rPr>
          <w:rFonts w:ascii="Arial" w:hAnsi="Arial" w:cs="Arial"/>
          <w:sz w:val="22"/>
          <w:szCs w:val="22"/>
          <w:lang w:eastAsia="es-MX"/>
        </w:rPr>
        <w:t>12 meses</w:t>
      </w:r>
    </w:p>
    <w:p w14:paraId="5A6542B4" w14:textId="3794E120" w:rsidR="004041EE" w:rsidRPr="004041EE" w:rsidRDefault="004041EE" w:rsidP="004041EE">
      <w:p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9BCCFC6" w14:textId="7BFACF34" w:rsidR="004041EE" w:rsidRPr="004041EE" w:rsidRDefault="004041EE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Pr="004041EE">
        <w:rPr>
          <w:rFonts w:ascii="Arial" w:hAnsi="Arial" w:cs="Arial"/>
          <w:b/>
          <w:sz w:val="22"/>
          <w:szCs w:val="22"/>
        </w:rPr>
        <w:t xml:space="preserve">Tiempo de entrega: </w:t>
      </w:r>
      <w:r w:rsidR="005316ED">
        <w:rPr>
          <w:rFonts w:ascii="Arial" w:hAnsi="Arial" w:cs="Arial"/>
          <w:sz w:val="22"/>
          <w:szCs w:val="22"/>
          <w:lang w:val="es-MX" w:eastAsia="es-MX"/>
        </w:rPr>
        <w:t>A más tardar</w:t>
      </w:r>
      <w:r w:rsidRPr="004041EE">
        <w:rPr>
          <w:rFonts w:ascii="Arial" w:hAnsi="Arial" w:cs="Arial"/>
          <w:sz w:val="22"/>
          <w:szCs w:val="22"/>
          <w:lang w:val="es-MX" w:eastAsia="es-MX"/>
        </w:rPr>
        <w:t xml:space="preserve"> el día </w:t>
      </w:r>
      <w:r w:rsidR="00F45AC5" w:rsidRPr="00B02BCF">
        <w:rPr>
          <w:rFonts w:ascii="Arial" w:hAnsi="Arial" w:cs="Arial"/>
          <w:sz w:val="22"/>
          <w:szCs w:val="22"/>
          <w:lang w:eastAsia="es-MX"/>
        </w:rPr>
        <w:t>31 de enero del 2024</w:t>
      </w:r>
      <w:r w:rsidRPr="004041EE">
        <w:rPr>
          <w:rFonts w:ascii="Arial" w:hAnsi="Arial" w:cs="Arial"/>
          <w:sz w:val="22"/>
          <w:szCs w:val="22"/>
          <w:lang w:val="es-MX" w:eastAsia="es-MX"/>
        </w:rPr>
        <w:t>, previa entrega de la orden de compra.</w:t>
      </w:r>
    </w:p>
    <w:p w14:paraId="5B7BDDB5" w14:textId="77777777" w:rsidR="004041EE" w:rsidRPr="004041EE" w:rsidRDefault="004041EE" w:rsidP="004041EE">
      <w:pPr>
        <w:spacing w:before="100" w:after="200"/>
        <w:contextualSpacing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39F54F7B" w14:textId="094F2BF8" w:rsidR="004041EE" w:rsidRPr="004041EE" w:rsidRDefault="004041EE" w:rsidP="004041EE">
      <w:pPr>
        <w:spacing w:before="100"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r w:rsidR="005316ED">
        <w:rPr>
          <w:rFonts w:ascii="Arial" w:hAnsi="Arial" w:cs="Arial"/>
          <w:b/>
          <w:sz w:val="22"/>
          <w:szCs w:val="22"/>
        </w:rPr>
        <w:t>Vigencia del servicio</w:t>
      </w:r>
      <w:r w:rsidRPr="004041EE">
        <w:rPr>
          <w:rFonts w:ascii="Arial" w:hAnsi="Arial" w:cs="Arial"/>
          <w:b/>
          <w:sz w:val="22"/>
          <w:szCs w:val="22"/>
        </w:rPr>
        <w:t xml:space="preserve">: </w:t>
      </w:r>
      <w:r w:rsidR="005316ED" w:rsidRPr="00B02BCF">
        <w:rPr>
          <w:rFonts w:ascii="Arial" w:hAnsi="Arial" w:cs="Arial"/>
          <w:sz w:val="22"/>
          <w:szCs w:val="22"/>
          <w:lang w:val="es-MX" w:eastAsia="es-MX"/>
        </w:rPr>
        <w:t xml:space="preserve">La póliza deberá </w:t>
      </w:r>
      <w:r w:rsidR="005316ED" w:rsidRPr="00B02BCF">
        <w:rPr>
          <w:rFonts w:ascii="Arial" w:hAnsi="Arial" w:cs="Arial"/>
          <w:sz w:val="22"/>
          <w:szCs w:val="22"/>
          <w:lang w:eastAsia="es-MX"/>
        </w:rPr>
        <w:t>Iniciar a las 12 horas del mediodía local del 31 de enero del 2024, concluyendo a las 12 horas del mediodía local del 31 de enero de 2025</w:t>
      </w:r>
      <w:r w:rsidR="00F45AC5" w:rsidRPr="00B02BCF">
        <w:rPr>
          <w:rFonts w:ascii="Arial" w:hAnsi="Arial" w:cs="Arial"/>
          <w:sz w:val="22"/>
          <w:szCs w:val="22"/>
          <w:lang w:eastAsia="es-MX"/>
        </w:rPr>
        <w:t>.</w:t>
      </w:r>
    </w:p>
    <w:p w14:paraId="12F6FCA6" w14:textId="77777777" w:rsidR="004041EE" w:rsidRPr="004041EE" w:rsidRDefault="004041EE" w:rsidP="004041EE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847336A" w14:textId="3A7F4465" w:rsidR="004041EE" w:rsidRPr="004041EE" w:rsidRDefault="004041EE" w:rsidP="004041EE">
      <w:pPr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Pr="004041EE">
        <w:rPr>
          <w:rFonts w:ascii="Arial" w:hAnsi="Arial" w:cs="Arial"/>
          <w:b/>
          <w:sz w:val="22"/>
          <w:szCs w:val="22"/>
        </w:rPr>
        <w:t xml:space="preserve">Lugar de entrega: </w:t>
      </w:r>
      <w:r w:rsidRPr="004041EE">
        <w:rPr>
          <w:rFonts w:ascii="Arial" w:eastAsia="Arial" w:hAnsi="Arial" w:cs="Arial"/>
          <w:color w:val="000000"/>
          <w:sz w:val="22"/>
        </w:rPr>
        <w:t>Se realizará en las instalaciones de la Auditoría Superior del Estado de Jalisco.</w:t>
      </w:r>
    </w:p>
    <w:p w14:paraId="4E8C2B72" w14:textId="77777777" w:rsidR="004041EE" w:rsidRPr="004041EE" w:rsidRDefault="004041EE" w:rsidP="005316ED">
      <w:pPr>
        <w:spacing w:before="100"/>
        <w:ind w:left="708"/>
        <w:rPr>
          <w:rFonts w:ascii="Arial" w:eastAsia="SimSun" w:hAnsi="Arial" w:cs="Arial"/>
          <w:sz w:val="22"/>
        </w:rPr>
      </w:pPr>
      <w:r w:rsidRPr="004041EE">
        <w:rPr>
          <w:rFonts w:ascii="Arial" w:eastAsia="SimSun" w:hAnsi="Arial" w:cs="Arial"/>
          <w:sz w:val="22"/>
        </w:rPr>
        <w:t>Domicilio: Avenida Niños Héroes 2409.</w:t>
      </w:r>
    </w:p>
    <w:p w14:paraId="2D29B106" w14:textId="4420BF92" w:rsidR="004041EE" w:rsidRPr="004041EE" w:rsidRDefault="004041EE" w:rsidP="005316ED">
      <w:pPr>
        <w:spacing w:before="100"/>
        <w:ind w:left="708"/>
        <w:rPr>
          <w:rFonts w:ascii="Arial" w:eastAsia="SimSun" w:hAnsi="Arial" w:cs="Arial"/>
          <w:sz w:val="22"/>
        </w:rPr>
      </w:pPr>
      <w:r w:rsidRPr="004041EE">
        <w:rPr>
          <w:rFonts w:ascii="Arial" w:eastAsia="SimSun" w:hAnsi="Arial" w:cs="Arial"/>
          <w:sz w:val="22"/>
        </w:rPr>
        <w:t>Código postal: 44190.</w:t>
      </w:r>
    </w:p>
    <w:p w14:paraId="22572FA2" w14:textId="77777777" w:rsidR="004041EE" w:rsidRPr="004041EE" w:rsidRDefault="004041EE" w:rsidP="005316ED">
      <w:pPr>
        <w:spacing w:before="40" w:after="40"/>
        <w:ind w:left="708"/>
        <w:jc w:val="both"/>
        <w:rPr>
          <w:rFonts w:ascii="Arial" w:eastAsia="SimSun" w:hAnsi="Arial" w:cs="Arial"/>
          <w:sz w:val="22"/>
        </w:rPr>
      </w:pPr>
      <w:r w:rsidRPr="004041EE">
        <w:rPr>
          <w:rFonts w:ascii="Arial" w:eastAsia="SimSun" w:hAnsi="Arial" w:cs="Arial"/>
          <w:sz w:val="22"/>
        </w:rPr>
        <w:t>Colonia: Moderna.</w:t>
      </w:r>
    </w:p>
    <w:p w14:paraId="05CB23CF" w14:textId="77777777" w:rsidR="004041EE" w:rsidRPr="004041EE" w:rsidRDefault="004041EE" w:rsidP="004041EE">
      <w:pPr>
        <w:spacing w:before="40" w:after="40"/>
        <w:jc w:val="both"/>
        <w:rPr>
          <w:rFonts w:ascii="Arial" w:eastAsia="SimSun" w:hAnsi="Arial" w:cs="Arial"/>
          <w:sz w:val="22"/>
        </w:rPr>
      </w:pPr>
    </w:p>
    <w:p w14:paraId="35BD9A02" w14:textId="77777777" w:rsidR="00F45AC5" w:rsidRDefault="004041EE" w:rsidP="004041EE">
      <w:pPr>
        <w:spacing w:before="40" w:after="40"/>
        <w:contextualSpacing/>
        <w:jc w:val="both"/>
        <w:rPr>
          <w:rFonts w:ascii="Arial" w:hAnsi="Arial" w:cs="Arial"/>
          <w:kern w:val="20"/>
          <w:sz w:val="22"/>
          <w:szCs w:val="22"/>
          <w:lang w:val="es-ES_tradnl"/>
        </w:rPr>
      </w:pPr>
      <w:r>
        <w:rPr>
          <w:rFonts w:ascii="Arial" w:hAnsi="Arial" w:cs="Arial"/>
          <w:b/>
          <w:kern w:val="20"/>
          <w:sz w:val="22"/>
          <w:szCs w:val="22"/>
          <w:lang w:val="es-ES_tradnl"/>
        </w:rPr>
        <w:t xml:space="preserve">VII. </w:t>
      </w:r>
      <w:r w:rsidRPr="004041EE">
        <w:rPr>
          <w:rFonts w:ascii="Arial" w:hAnsi="Arial" w:cs="Arial"/>
          <w:b/>
          <w:kern w:val="20"/>
          <w:sz w:val="22"/>
          <w:szCs w:val="22"/>
          <w:lang w:val="es-ES_tradnl"/>
        </w:rPr>
        <w:t>Garantías</w:t>
      </w:r>
      <w:r w:rsidRPr="007D52F7">
        <w:rPr>
          <w:rFonts w:ascii="Arial" w:hAnsi="Arial" w:cs="Arial"/>
          <w:b/>
          <w:kern w:val="20"/>
          <w:sz w:val="22"/>
          <w:szCs w:val="22"/>
          <w:lang w:val="es-ES_tradnl"/>
        </w:rPr>
        <w:t>:</w:t>
      </w:r>
      <w:r w:rsidRPr="007D52F7">
        <w:rPr>
          <w:rFonts w:ascii="Arial" w:hAnsi="Arial" w:cs="Arial"/>
          <w:kern w:val="20"/>
          <w:sz w:val="22"/>
          <w:szCs w:val="22"/>
          <w:lang w:val="es-ES_tradnl"/>
        </w:rPr>
        <w:t xml:space="preserve"> </w:t>
      </w:r>
    </w:p>
    <w:p w14:paraId="74820B54" w14:textId="77777777" w:rsidR="00F45AC5" w:rsidRDefault="00F45AC5" w:rsidP="004041EE">
      <w:pPr>
        <w:spacing w:before="40" w:after="40"/>
        <w:contextualSpacing/>
        <w:jc w:val="both"/>
        <w:rPr>
          <w:rFonts w:ascii="Arial" w:hAnsi="Arial" w:cs="Arial"/>
          <w:kern w:val="20"/>
          <w:sz w:val="22"/>
          <w:szCs w:val="22"/>
          <w:lang w:val="es-ES_tradnl"/>
        </w:rPr>
      </w:pPr>
    </w:p>
    <w:p w14:paraId="2A4A8769" w14:textId="656FED93" w:rsidR="00F45AC5" w:rsidRDefault="00F45AC5" w:rsidP="005316ED">
      <w:pPr>
        <w:pStyle w:val="Prrafodelista"/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 w:val="22"/>
          <w:szCs w:val="22"/>
        </w:rPr>
      </w:pPr>
      <w:r w:rsidRPr="00B02BCF">
        <w:rPr>
          <w:rFonts w:ascii="Arial" w:hAnsi="Arial" w:cs="Arial"/>
          <w:sz w:val="22"/>
          <w:szCs w:val="22"/>
        </w:rPr>
        <w:t>Carta compromiso donde se mencione que se entregará un reporte mensual de la siniestralidad con la información solicitada en las especificaciones técni</w:t>
      </w:r>
      <w:r w:rsidR="00441F3D">
        <w:rPr>
          <w:rFonts w:ascii="Arial" w:hAnsi="Arial" w:cs="Arial"/>
          <w:sz w:val="22"/>
          <w:szCs w:val="22"/>
        </w:rPr>
        <w:t xml:space="preserve">cas (reporte de siniestralidad), </w:t>
      </w:r>
      <w:r w:rsidR="00441F3D" w:rsidRPr="00441F3D">
        <w:rPr>
          <w:rFonts w:ascii="Arial" w:hAnsi="Arial" w:cs="Arial"/>
          <w:sz w:val="22"/>
          <w:szCs w:val="22"/>
        </w:rPr>
        <w:t>así como responder por los defectos, vicios ocultos y deficiencias en la calidad de su servicio, además de cualquier otra responsabilidad en que hubiere incurrido el personal a su cargo</w:t>
      </w:r>
      <w:r w:rsidR="000655A2">
        <w:rPr>
          <w:rFonts w:ascii="Arial" w:hAnsi="Arial" w:cs="Arial"/>
          <w:sz w:val="22"/>
          <w:szCs w:val="22"/>
        </w:rPr>
        <w:t>.</w:t>
      </w:r>
    </w:p>
    <w:p w14:paraId="64B61E10" w14:textId="4352583A" w:rsidR="00FC5508" w:rsidRPr="00FC5508" w:rsidRDefault="00FC5508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sz w:val="22"/>
          <w:szCs w:val="22"/>
          <w:lang w:val="es-ES_tradnl"/>
        </w:rPr>
      </w:pPr>
      <w:r w:rsidRPr="00FC5508">
        <w:rPr>
          <w:rFonts w:ascii="Arial" w:hAnsi="Arial" w:cs="Arial"/>
          <w:b/>
          <w:kern w:val="20"/>
          <w:sz w:val="22"/>
          <w:szCs w:val="22"/>
          <w:lang w:val="es-ES_tradnl"/>
        </w:rPr>
        <w:t>Lo anterior se deberá asentar</w:t>
      </w:r>
      <w:r>
        <w:rPr>
          <w:rFonts w:ascii="Arial" w:hAnsi="Arial" w:cs="Arial"/>
          <w:b/>
          <w:kern w:val="20"/>
          <w:sz w:val="22"/>
          <w:szCs w:val="22"/>
          <w:lang w:val="es-ES_tradnl"/>
        </w:rPr>
        <w:t xml:space="preserve"> </w:t>
      </w:r>
      <w:r w:rsidRPr="00FC5508">
        <w:rPr>
          <w:rFonts w:ascii="Arial" w:hAnsi="Arial" w:cs="Arial"/>
          <w:b/>
          <w:kern w:val="20"/>
          <w:sz w:val="22"/>
          <w:szCs w:val="22"/>
          <w:lang w:val="es-ES_tradnl"/>
        </w:rPr>
        <w:t>por escrito</w:t>
      </w:r>
      <w:r>
        <w:rPr>
          <w:rFonts w:ascii="Arial" w:hAnsi="Arial" w:cs="Arial"/>
          <w:b/>
          <w:kern w:val="20"/>
          <w:sz w:val="22"/>
          <w:szCs w:val="22"/>
          <w:lang w:val="es-ES_tradnl"/>
        </w:rPr>
        <w:t xml:space="preserve"> y bajo protesta de decir verdad</w:t>
      </w:r>
      <w:r w:rsidRPr="00FC5508">
        <w:rPr>
          <w:rFonts w:ascii="Arial" w:hAnsi="Arial" w:cs="Arial"/>
          <w:b/>
          <w:kern w:val="20"/>
          <w:sz w:val="22"/>
          <w:szCs w:val="22"/>
          <w:lang w:val="es-ES_tradnl"/>
        </w:rPr>
        <w:t xml:space="preserve"> en el Anexo 14 “Garantías”</w:t>
      </w:r>
      <w:r>
        <w:rPr>
          <w:rFonts w:ascii="Arial" w:hAnsi="Arial" w:cs="Arial"/>
          <w:b/>
          <w:kern w:val="20"/>
          <w:sz w:val="22"/>
          <w:szCs w:val="22"/>
          <w:lang w:val="es-ES_tradnl"/>
        </w:rPr>
        <w:t>.</w:t>
      </w:r>
    </w:p>
    <w:p w14:paraId="7CC16156" w14:textId="1F394B1B" w:rsidR="00E112BA" w:rsidRDefault="00E112BA" w:rsidP="007208FB">
      <w:pPr>
        <w:spacing w:before="100"/>
        <w:rPr>
          <w:rFonts w:ascii="Arial" w:hAnsi="Arial" w:cs="Arial"/>
          <w:b/>
          <w:kern w:val="20"/>
          <w:sz w:val="22"/>
          <w:szCs w:val="22"/>
          <w:lang w:val="es-ES_tradnl" w:eastAsia="en-US"/>
        </w:rPr>
      </w:pPr>
    </w:p>
    <w:p w14:paraId="1B491F07" w14:textId="3EF8CB0D" w:rsidR="004041EE" w:rsidRPr="005316ED" w:rsidRDefault="004041EE" w:rsidP="005316ED">
      <w:pPr>
        <w:pStyle w:val="Prrafodelista"/>
        <w:numPr>
          <w:ilvl w:val="0"/>
          <w:numId w:val="18"/>
        </w:numPr>
        <w:spacing w:before="100"/>
        <w:rPr>
          <w:rFonts w:ascii="Arial" w:hAnsi="Arial" w:cs="Arial"/>
          <w:kern w:val="20"/>
          <w:sz w:val="22"/>
          <w:szCs w:val="22"/>
          <w:lang w:val="es-ES_tradnl" w:eastAsia="en-US"/>
        </w:rPr>
      </w:pPr>
      <w:r w:rsidRPr="005316ED">
        <w:rPr>
          <w:rFonts w:ascii="Arial" w:hAnsi="Arial" w:cs="Arial"/>
          <w:b/>
          <w:kern w:val="20"/>
          <w:sz w:val="22"/>
          <w:szCs w:val="22"/>
          <w:lang w:val="es-ES_tradnl" w:eastAsia="en-US"/>
        </w:rPr>
        <w:t>Fianza</w:t>
      </w:r>
      <w:r w:rsidR="007208FB" w:rsidRPr="005316ED">
        <w:rPr>
          <w:rFonts w:ascii="Arial" w:hAnsi="Arial" w:cs="Arial"/>
          <w:kern w:val="20"/>
          <w:sz w:val="22"/>
          <w:szCs w:val="22"/>
          <w:lang w:val="es-ES_tradnl" w:eastAsia="en-US"/>
        </w:rPr>
        <w:t>: Fianza de Cumplimiento según lo establecido en las bases de la convocatoria</w:t>
      </w:r>
      <w:r w:rsidR="00292F6F" w:rsidRPr="005316ED">
        <w:rPr>
          <w:rFonts w:ascii="Arial" w:hAnsi="Arial" w:cs="Arial"/>
          <w:kern w:val="20"/>
          <w:sz w:val="22"/>
          <w:szCs w:val="22"/>
          <w:lang w:val="es-ES_tradnl" w:eastAsia="en-US"/>
        </w:rPr>
        <w:t>.</w:t>
      </w:r>
    </w:p>
    <w:p w14:paraId="5F381B12" w14:textId="77777777" w:rsidR="004041EE" w:rsidRPr="004041EE" w:rsidRDefault="004041EE" w:rsidP="004041EE">
      <w:pPr>
        <w:spacing w:before="40" w:after="4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6735EFA" w14:textId="5D454798" w:rsidR="004041EE" w:rsidRPr="004041EE" w:rsidRDefault="00BA3336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4041EE">
        <w:rPr>
          <w:rFonts w:ascii="Arial" w:hAnsi="Arial" w:cs="Arial"/>
          <w:b/>
          <w:sz w:val="22"/>
          <w:szCs w:val="22"/>
        </w:rPr>
        <w:t xml:space="preserve">. </w:t>
      </w:r>
      <w:r w:rsidR="004041EE" w:rsidRPr="004041EE">
        <w:rPr>
          <w:rFonts w:ascii="Arial" w:hAnsi="Arial" w:cs="Arial"/>
          <w:b/>
          <w:sz w:val="22"/>
          <w:szCs w:val="22"/>
        </w:rPr>
        <w:t xml:space="preserve">Anticipo: </w:t>
      </w:r>
      <w:r w:rsidR="004041EE" w:rsidRPr="004041EE">
        <w:rPr>
          <w:rFonts w:ascii="Arial" w:hAnsi="Arial" w:cs="Arial"/>
          <w:sz w:val="22"/>
          <w:szCs w:val="22"/>
        </w:rPr>
        <w:t xml:space="preserve">No se entregará anticipo. </w:t>
      </w:r>
      <w:r w:rsidR="004041EE" w:rsidRPr="004041EE">
        <w:rPr>
          <w:rFonts w:ascii="Arial" w:hAnsi="Arial" w:cs="Arial"/>
          <w:sz w:val="22"/>
          <w:szCs w:val="22"/>
        </w:rPr>
        <w:tab/>
      </w:r>
    </w:p>
    <w:p w14:paraId="130F63B5" w14:textId="77777777" w:rsidR="004041EE" w:rsidRPr="004041EE" w:rsidRDefault="004041EE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</w:p>
    <w:p w14:paraId="385EDB4E" w14:textId="77777777" w:rsidR="00F45AC5" w:rsidRPr="00B02BCF" w:rsidRDefault="00BA3336" w:rsidP="00F45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041EE">
        <w:rPr>
          <w:rFonts w:ascii="Arial" w:hAnsi="Arial" w:cs="Arial"/>
          <w:b/>
          <w:sz w:val="22"/>
          <w:szCs w:val="22"/>
        </w:rPr>
        <w:t xml:space="preserve">X. </w:t>
      </w:r>
      <w:r w:rsidR="004041EE" w:rsidRPr="004041EE">
        <w:rPr>
          <w:rFonts w:ascii="Arial" w:hAnsi="Arial" w:cs="Arial"/>
          <w:b/>
          <w:sz w:val="22"/>
          <w:szCs w:val="22"/>
        </w:rPr>
        <w:t>Forma de pago</w:t>
      </w:r>
      <w:r w:rsidR="004041EE" w:rsidRPr="004041EE">
        <w:rPr>
          <w:rFonts w:ascii="Arial" w:hAnsi="Arial" w:cs="Arial"/>
          <w:sz w:val="22"/>
          <w:szCs w:val="22"/>
        </w:rPr>
        <w:t xml:space="preserve">: </w:t>
      </w:r>
      <w:r w:rsidR="00F45AC5" w:rsidRPr="00B02BCF">
        <w:rPr>
          <w:rFonts w:ascii="Arial" w:hAnsi="Arial" w:cs="Arial"/>
          <w:sz w:val="22"/>
          <w:szCs w:val="22"/>
        </w:rPr>
        <w:t xml:space="preserve">En una sola exhibición por medio de transferencia electrónica, impactando la partida </w:t>
      </w:r>
      <w:r w:rsidR="00F45AC5" w:rsidRPr="00B02BCF">
        <w:rPr>
          <w:rFonts w:ascii="Arial" w:hAnsi="Arial" w:cs="Arial"/>
          <w:b/>
          <w:sz w:val="22"/>
          <w:szCs w:val="22"/>
        </w:rPr>
        <w:t xml:space="preserve">3451 </w:t>
      </w:r>
      <w:r w:rsidR="00F45AC5" w:rsidRPr="00B02BCF">
        <w:rPr>
          <w:rFonts w:ascii="Arial" w:hAnsi="Arial" w:cs="Arial"/>
          <w:sz w:val="22"/>
          <w:szCs w:val="22"/>
        </w:rPr>
        <w:t>seguro de bienes patrimoniales. El pago del servicio se realizará posterior a la entrega de la póliza o carta cobertura a entera satisfacción de la ASEJ, dentro de los 5 días hábiles siguientes a la entrega de la factura.</w:t>
      </w:r>
    </w:p>
    <w:p w14:paraId="19449FD4" w14:textId="5276F341" w:rsidR="008A619F" w:rsidRPr="004041EE" w:rsidRDefault="0084106E" w:rsidP="00F45AC5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</w:p>
    <w:sectPr w:rsidR="008A619F" w:rsidRPr="00404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737"/>
    <w:multiLevelType w:val="hybridMultilevel"/>
    <w:tmpl w:val="B6D6A0A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63F4"/>
    <w:multiLevelType w:val="hybridMultilevel"/>
    <w:tmpl w:val="D9C4D0F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F3BA5"/>
    <w:multiLevelType w:val="hybridMultilevel"/>
    <w:tmpl w:val="ECC8689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041F"/>
    <w:multiLevelType w:val="hybridMultilevel"/>
    <w:tmpl w:val="72C0A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B6E41"/>
    <w:multiLevelType w:val="hybridMultilevel"/>
    <w:tmpl w:val="0388B016"/>
    <w:lvl w:ilvl="0" w:tplc="81A2B298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FC00624"/>
    <w:multiLevelType w:val="hybridMultilevel"/>
    <w:tmpl w:val="47EE01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86227"/>
    <w:multiLevelType w:val="hybridMultilevel"/>
    <w:tmpl w:val="98C07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17"/>
  </w:num>
  <w:num w:numId="13">
    <w:abstractNumId w:val="4"/>
  </w:num>
  <w:num w:numId="14">
    <w:abstractNumId w:val="2"/>
  </w:num>
  <w:num w:numId="15">
    <w:abstractNumId w:val="8"/>
  </w:num>
  <w:num w:numId="16">
    <w:abstractNumId w:val="16"/>
  </w:num>
  <w:num w:numId="17">
    <w:abstractNumId w:val="0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655A2"/>
    <w:rsid w:val="000838A3"/>
    <w:rsid w:val="000C7C0E"/>
    <w:rsid w:val="00110DA6"/>
    <w:rsid w:val="00131466"/>
    <w:rsid w:val="001929B0"/>
    <w:rsid w:val="001A7F05"/>
    <w:rsid w:val="002360AD"/>
    <w:rsid w:val="00286B98"/>
    <w:rsid w:val="00292F6F"/>
    <w:rsid w:val="002C3692"/>
    <w:rsid w:val="00364F75"/>
    <w:rsid w:val="00367F82"/>
    <w:rsid w:val="00380930"/>
    <w:rsid w:val="003B04EA"/>
    <w:rsid w:val="003F7CDB"/>
    <w:rsid w:val="004041EE"/>
    <w:rsid w:val="00426C26"/>
    <w:rsid w:val="0043287B"/>
    <w:rsid w:val="00441F3D"/>
    <w:rsid w:val="004878DC"/>
    <w:rsid w:val="004A561F"/>
    <w:rsid w:val="004C2900"/>
    <w:rsid w:val="005316ED"/>
    <w:rsid w:val="0054178E"/>
    <w:rsid w:val="005523AE"/>
    <w:rsid w:val="005532DD"/>
    <w:rsid w:val="00554ED1"/>
    <w:rsid w:val="005F305F"/>
    <w:rsid w:val="005F4BAE"/>
    <w:rsid w:val="00642D07"/>
    <w:rsid w:val="00660F64"/>
    <w:rsid w:val="00670A05"/>
    <w:rsid w:val="0068500A"/>
    <w:rsid w:val="007208FB"/>
    <w:rsid w:val="007318BE"/>
    <w:rsid w:val="007377E9"/>
    <w:rsid w:val="007429D0"/>
    <w:rsid w:val="007452D0"/>
    <w:rsid w:val="00745A16"/>
    <w:rsid w:val="007B0241"/>
    <w:rsid w:val="007C57E8"/>
    <w:rsid w:val="007D52F7"/>
    <w:rsid w:val="007E30B9"/>
    <w:rsid w:val="00804227"/>
    <w:rsid w:val="00824540"/>
    <w:rsid w:val="0084106E"/>
    <w:rsid w:val="00862DDD"/>
    <w:rsid w:val="00890116"/>
    <w:rsid w:val="008B3A85"/>
    <w:rsid w:val="009A7495"/>
    <w:rsid w:val="009C79BC"/>
    <w:rsid w:val="00A65637"/>
    <w:rsid w:val="00A75314"/>
    <w:rsid w:val="00AE079C"/>
    <w:rsid w:val="00AF689E"/>
    <w:rsid w:val="00B1234F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112BA"/>
    <w:rsid w:val="00E67E0F"/>
    <w:rsid w:val="00E80441"/>
    <w:rsid w:val="00EB752C"/>
    <w:rsid w:val="00EF7C11"/>
    <w:rsid w:val="00F45AC5"/>
    <w:rsid w:val="00FB5448"/>
    <w:rsid w:val="00FC550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99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1505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9</cp:revision>
  <dcterms:created xsi:type="dcterms:W3CDTF">2023-09-07T16:36:00Z</dcterms:created>
  <dcterms:modified xsi:type="dcterms:W3CDTF">2023-11-28T20:09:00Z</dcterms:modified>
</cp:coreProperties>
</file>