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A543A8" w14:paraId="6E5023CF" w14:textId="77777777" w:rsidTr="003D1522">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3D1522">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54F03618" w:rsidR="00E87FCF" w:rsidRPr="00743E28" w:rsidRDefault="00061BB1" w:rsidP="003131BB">
            <w:pPr>
              <w:rPr>
                <w:rFonts w:ascii="Arial" w:hAnsi="Arial" w:cs="Arial"/>
                <w:sz w:val="20"/>
                <w:szCs w:val="20"/>
              </w:rPr>
            </w:pPr>
            <w:r w:rsidRPr="00743E28">
              <w:rPr>
                <w:rFonts w:ascii="Arial" w:hAnsi="Arial" w:cs="Arial"/>
                <w:sz w:val="20"/>
                <w:szCs w:val="20"/>
              </w:rPr>
              <w:t>LP-</w:t>
            </w:r>
            <w:r w:rsidR="00D73BA5">
              <w:rPr>
                <w:rFonts w:ascii="Arial" w:hAnsi="Arial" w:cs="Arial"/>
                <w:sz w:val="20"/>
                <w:szCs w:val="20"/>
              </w:rPr>
              <w:t>SC-015</w:t>
            </w:r>
            <w:r w:rsidRPr="00743E28">
              <w:rPr>
                <w:rFonts w:ascii="Arial" w:hAnsi="Arial" w:cs="Arial"/>
                <w:sz w:val="20"/>
                <w:szCs w:val="20"/>
              </w:rPr>
              <w:t>-</w:t>
            </w:r>
            <w:r w:rsidR="00A543A8" w:rsidRPr="00743E28">
              <w:rPr>
                <w:rFonts w:ascii="Arial" w:hAnsi="Arial" w:cs="Arial"/>
                <w:sz w:val="20"/>
                <w:szCs w:val="20"/>
              </w:rPr>
              <w:t>2023</w:t>
            </w:r>
            <w:r w:rsidR="00A21DF9">
              <w:rPr>
                <w:rFonts w:ascii="Arial" w:hAnsi="Arial" w:cs="Arial"/>
                <w:sz w:val="20"/>
                <w:szCs w:val="20"/>
              </w:rPr>
              <w:t xml:space="preserve"> </w:t>
            </w:r>
            <w:r w:rsidR="00EE66CB">
              <w:rPr>
                <w:rFonts w:ascii="Arial" w:hAnsi="Arial" w:cs="Arial"/>
                <w:sz w:val="20"/>
                <w:szCs w:val="20"/>
              </w:rPr>
              <w:t>BIS</w:t>
            </w:r>
          </w:p>
        </w:tc>
      </w:tr>
      <w:tr w:rsidR="00E87FCF" w:rsidRPr="00A543A8" w14:paraId="56C93BC6" w14:textId="77777777" w:rsidTr="003D1522">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636965FA" w:rsidR="00E87FCF" w:rsidRPr="00743E28" w:rsidRDefault="00D73BA5" w:rsidP="00D73BA5">
            <w:pPr>
              <w:rPr>
                <w:rFonts w:ascii="Arial" w:hAnsi="Arial" w:cs="Arial"/>
                <w:sz w:val="20"/>
                <w:szCs w:val="20"/>
              </w:rPr>
            </w:pPr>
            <w:r>
              <w:rPr>
                <w:rFonts w:ascii="Arial" w:hAnsi="Arial" w:cs="Arial"/>
                <w:sz w:val="20"/>
                <w:szCs w:val="20"/>
              </w:rPr>
              <w:t>Nacional sin la</w:t>
            </w:r>
            <w:r w:rsidR="00636D57" w:rsidRPr="00743E28">
              <w:rPr>
                <w:rFonts w:ascii="Arial" w:hAnsi="Arial" w:cs="Arial"/>
                <w:sz w:val="20"/>
                <w:szCs w:val="20"/>
              </w:rPr>
              <w:t xml:space="preserve"> </w:t>
            </w:r>
            <w:r w:rsidR="00A543A8" w:rsidRPr="00743E28">
              <w:rPr>
                <w:rFonts w:ascii="Arial" w:hAnsi="Arial" w:cs="Arial"/>
                <w:sz w:val="20"/>
                <w:szCs w:val="20"/>
              </w:rPr>
              <w:t>concurrencia del Comité</w:t>
            </w:r>
          </w:p>
        </w:tc>
      </w:tr>
      <w:tr w:rsidR="00E87FCF" w:rsidRPr="00A543A8" w14:paraId="063F0319" w14:textId="77777777" w:rsidTr="003D1522">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6CA70F43" w:rsidR="00E87FCF" w:rsidRPr="00743E28" w:rsidRDefault="00D73BA5" w:rsidP="00F9166E">
            <w:pPr>
              <w:rPr>
                <w:rFonts w:ascii="Arial" w:hAnsi="Arial" w:cs="Arial"/>
                <w:sz w:val="20"/>
                <w:szCs w:val="20"/>
              </w:rPr>
            </w:pPr>
            <w:r>
              <w:rPr>
                <w:rFonts w:ascii="Arial" w:hAnsi="Arial" w:cs="Arial"/>
                <w:sz w:val="20"/>
                <w:szCs w:val="20"/>
              </w:rPr>
              <w:t>Seguro para el parque vehicular de la ASEJ</w:t>
            </w:r>
            <w:r w:rsidR="006F6985">
              <w:rPr>
                <w:rFonts w:ascii="Arial" w:hAnsi="Arial" w:cs="Arial"/>
                <w:sz w:val="20"/>
                <w:szCs w:val="20"/>
              </w:rPr>
              <w:t xml:space="preserve"> 2024</w:t>
            </w:r>
            <w:r w:rsidR="003131BB">
              <w:rPr>
                <w:rFonts w:ascii="Arial" w:hAnsi="Arial" w:cs="Arial"/>
                <w:sz w:val="20"/>
                <w:szCs w:val="20"/>
              </w:rPr>
              <w:t>.</w:t>
            </w:r>
            <w:r w:rsidR="005E68CB" w:rsidRPr="00743E28">
              <w:rPr>
                <w:rFonts w:ascii="Arial" w:hAnsi="Arial" w:cs="Arial"/>
                <w:sz w:val="20"/>
                <w:szCs w:val="20"/>
              </w:rPr>
              <w:t xml:space="preserve"> </w:t>
            </w:r>
          </w:p>
        </w:tc>
      </w:tr>
      <w:tr w:rsidR="00E87FCF" w:rsidRPr="00A543A8" w14:paraId="6C00D733" w14:textId="77777777" w:rsidTr="003D1522">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820" w:type="dxa"/>
            <w:vAlign w:val="center"/>
          </w:tcPr>
          <w:p w14:paraId="0BA24A16" w14:textId="78AC8E10" w:rsidR="00E87FCF" w:rsidRPr="00743E28" w:rsidRDefault="003131BB" w:rsidP="00F9166E">
            <w:pPr>
              <w:rPr>
                <w:rFonts w:ascii="Arial" w:hAnsi="Arial" w:cs="Arial"/>
                <w:sz w:val="20"/>
                <w:szCs w:val="20"/>
              </w:rPr>
            </w:pPr>
            <w:r>
              <w:rPr>
                <w:rFonts w:ascii="Arial" w:hAnsi="Arial" w:cs="Arial"/>
                <w:sz w:val="20"/>
                <w:szCs w:val="20"/>
              </w:rPr>
              <w:t>Servicios Generales</w:t>
            </w:r>
            <w:r w:rsidR="005E68CB" w:rsidRPr="00743E28">
              <w:rPr>
                <w:rFonts w:ascii="Arial" w:hAnsi="Arial" w:cs="Arial"/>
                <w:sz w:val="20"/>
                <w:szCs w:val="20"/>
              </w:rPr>
              <w:t xml:space="preserve"> </w:t>
            </w:r>
          </w:p>
        </w:tc>
      </w:tr>
      <w:tr w:rsidR="00E87FCF" w:rsidRPr="00A543A8" w14:paraId="61A93CD6" w14:textId="77777777" w:rsidTr="003D1522">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3DA05C3C" w:rsidR="005672D9" w:rsidRPr="00D73BA5" w:rsidRDefault="00EB2361" w:rsidP="00D73BA5">
            <w:pPr>
              <w:rPr>
                <w:rFonts w:ascii="Arial" w:hAnsi="Arial" w:cs="Arial"/>
                <w:sz w:val="20"/>
                <w:szCs w:val="20"/>
                <w:highlight w:val="yellow"/>
              </w:rPr>
            </w:pPr>
            <w:r w:rsidRPr="00F875B6">
              <w:rPr>
                <w:rFonts w:ascii="Arial" w:hAnsi="Arial" w:cs="Arial"/>
                <w:sz w:val="20"/>
                <w:szCs w:val="20"/>
              </w:rPr>
              <w:t>$</w:t>
            </w:r>
            <w:r w:rsidR="00F875B6" w:rsidRPr="00F875B6">
              <w:rPr>
                <w:rFonts w:ascii="Arial" w:hAnsi="Arial" w:cs="Arial"/>
                <w:sz w:val="20"/>
                <w:szCs w:val="20"/>
              </w:rPr>
              <w:t>375,000</w:t>
            </w:r>
            <w:r w:rsidR="006B0A1A" w:rsidRPr="00F875B6">
              <w:rPr>
                <w:rFonts w:ascii="Arial" w:hAnsi="Arial" w:cs="Arial"/>
                <w:sz w:val="20"/>
                <w:szCs w:val="20"/>
              </w:rPr>
              <w:t>.00 M.N.</w:t>
            </w:r>
            <w:r w:rsidR="00F875B6" w:rsidRPr="00F875B6">
              <w:rPr>
                <w:rFonts w:ascii="Arial" w:hAnsi="Arial" w:cs="Arial"/>
                <w:sz w:val="20"/>
                <w:szCs w:val="20"/>
              </w:rPr>
              <w:t xml:space="preserve"> </w:t>
            </w:r>
            <w:r w:rsidR="00061BB1" w:rsidRPr="00F875B6">
              <w:rPr>
                <w:rFonts w:ascii="Arial" w:hAnsi="Arial" w:cs="Arial"/>
                <w:sz w:val="20"/>
                <w:szCs w:val="20"/>
              </w:rPr>
              <w:t>(</w:t>
            </w:r>
            <w:r w:rsidR="00F875B6" w:rsidRPr="00F875B6">
              <w:rPr>
                <w:rFonts w:ascii="Arial" w:hAnsi="Arial" w:cs="Arial"/>
                <w:sz w:val="20"/>
                <w:szCs w:val="20"/>
              </w:rPr>
              <w:t xml:space="preserve">trescientos setenta y cinco mil </w:t>
            </w:r>
            <w:r w:rsidR="006B0A1A" w:rsidRPr="00F875B6">
              <w:rPr>
                <w:rFonts w:ascii="Arial" w:hAnsi="Arial" w:cs="Arial"/>
                <w:sz w:val="20"/>
                <w:szCs w:val="20"/>
              </w:rPr>
              <w:t>pesos</w:t>
            </w:r>
            <w:r w:rsidR="00061BB1" w:rsidRPr="00F875B6">
              <w:rPr>
                <w:rFonts w:ascii="Arial" w:hAnsi="Arial" w:cs="Arial"/>
                <w:sz w:val="20"/>
                <w:szCs w:val="20"/>
              </w:rPr>
              <w:t xml:space="preserve"> 00/100 m</w:t>
            </w:r>
            <w:r w:rsidR="005672D9" w:rsidRPr="00F875B6">
              <w:rPr>
                <w:rFonts w:ascii="Arial" w:hAnsi="Arial" w:cs="Arial"/>
                <w:sz w:val="20"/>
                <w:szCs w:val="20"/>
              </w:rPr>
              <w:t>.</w:t>
            </w:r>
            <w:r w:rsidR="00061BB1" w:rsidRPr="00F875B6">
              <w:rPr>
                <w:rFonts w:ascii="Arial" w:hAnsi="Arial" w:cs="Arial"/>
                <w:sz w:val="20"/>
                <w:szCs w:val="20"/>
              </w:rPr>
              <w:t xml:space="preserve"> n.</w:t>
            </w:r>
            <w:r w:rsidR="005672D9" w:rsidRPr="00F875B6">
              <w:rPr>
                <w:rFonts w:ascii="Arial" w:hAnsi="Arial" w:cs="Arial"/>
                <w:sz w:val="20"/>
                <w:szCs w:val="20"/>
              </w:rPr>
              <w:t xml:space="preserve">)  </w:t>
            </w:r>
            <w:r w:rsidR="005375E2" w:rsidRPr="00F875B6">
              <w:rPr>
                <w:rFonts w:ascii="Arial" w:hAnsi="Arial" w:cs="Arial"/>
                <w:sz w:val="20"/>
                <w:szCs w:val="20"/>
              </w:rPr>
              <w:t>del presupuesto de egresos de la ASEJ, para el ejercicio fiscal 202</w:t>
            </w:r>
            <w:r w:rsidR="00D73BA5" w:rsidRPr="00F875B6">
              <w:rPr>
                <w:rFonts w:ascii="Arial" w:hAnsi="Arial" w:cs="Arial"/>
                <w:sz w:val="20"/>
                <w:szCs w:val="20"/>
              </w:rPr>
              <w:t>4</w:t>
            </w:r>
            <w:r w:rsidR="005375E2" w:rsidRPr="00F875B6">
              <w:rPr>
                <w:rFonts w:ascii="Arial" w:hAnsi="Arial" w:cs="Arial"/>
                <w:sz w:val="20"/>
                <w:szCs w:val="20"/>
              </w:rPr>
              <w:t>.</w:t>
            </w:r>
          </w:p>
        </w:tc>
      </w:tr>
      <w:tr w:rsidR="00E87FCF" w:rsidRPr="00A543A8" w14:paraId="0FC6B310" w14:textId="77777777" w:rsidTr="003D1522">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820"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F875B6">
      <w:pP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36AC52F5" w:rsidR="000A578C" w:rsidRDefault="000A578C" w:rsidP="00C735D6">
      <w:pPr>
        <w:jc w:val="center"/>
        <w:rPr>
          <w:rFonts w:ascii="Arial" w:hAnsi="Arial" w:cs="Arial"/>
          <w:b/>
          <w:sz w:val="24"/>
          <w:szCs w:val="24"/>
        </w:rPr>
      </w:pPr>
    </w:p>
    <w:p w14:paraId="0BF7597F" w14:textId="77777777" w:rsidR="00F875B6" w:rsidRDefault="00F875B6" w:rsidP="00C735D6">
      <w:pPr>
        <w:jc w:val="center"/>
        <w:rPr>
          <w:rFonts w:ascii="Arial" w:hAnsi="Arial" w:cs="Arial"/>
          <w:b/>
          <w:sz w:val="24"/>
          <w:szCs w:val="24"/>
        </w:rPr>
      </w:pPr>
    </w:p>
    <w:p w14:paraId="785B44FA" w14:textId="0CD1AE3E"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2CB3407"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w:t>
            </w:r>
            <w:r w:rsidR="0040494E" w:rsidRPr="00F06316">
              <w:rPr>
                <w:rFonts w:ascii="Arial" w:hAnsi="Arial" w:cs="Arial"/>
                <w:webHidden/>
              </w:rPr>
              <w:fldChar w:fldCharType="end"/>
            </w:r>
          </w:hyperlink>
        </w:p>
        <w:p w14:paraId="5A56CD56" w14:textId="08553B43" w:rsidR="0040494E" w:rsidRPr="00F06316" w:rsidRDefault="00EE66CB"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4F105088" w14:textId="4E30C885" w:rsidR="0040494E" w:rsidRPr="00F06316" w:rsidRDefault="00EE66CB"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3FEE47A6" w14:textId="75EDC5B0" w:rsidR="0040494E" w:rsidRPr="00F06316" w:rsidRDefault="00EE66CB"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7</w:t>
            </w:r>
            <w:r w:rsidR="0040494E" w:rsidRPr="00F06316">
              <w:rPr>
                <w:rFonts w:ascii="Arial" w:hAnsi="Arial" w:cs="Arial"/>
                <w:webHidden/>
              </w:rPr>
              <w:fldChar w:fldCharType="end"/>
            </w:r>
          </w:hyperlink>
        </w:p>
        <w:p w14:paraId="333F87C4" w14:textId="6D8FE619" w:rsidR="0040494E" w:rsidRPr="00F06316" w:rsidRDefault="00EE66CB"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27484997" w14:textId="449691CA" w:rsidR="0040494E" w:rsidRPr="00F06316" w:rsidRDefault="00EE66CB"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1B3BE21A" w14:textId="102EB472" w:rsidR="0040494E" w:rsidRPr="00F06316" w:rsidRDefault="00EE66CB"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9</w:t>
            </w:r>
            <w:r w:rsidR="0040494E" w:rsidRPr="00F06316">
              <w:rPr>
                <w:rFonts w:ascii="Arial" w:hAnsi="Arial" w:cs="Arial"/>
                <w:webHidden/>
              </w:rPr>
              <w:fldChar w:fldCharType="end"/>
            </w:r>
          </w:hyperlink>
        </w:p>
        <w:p w14:paraId="635DB46B" w14:textId="5DF7C4B6" w:rsidR="0040494E" w:rsidRPr="00F06316" w:rsidRDefault="00EE66CB">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10</w:t>
            </w:r>
            <w:r w:rsidR="0040494E" w:rsidRPr="00F06316">
              <w:rPr>
                <w:rFonts w:ascii="Arial" w:hAnsi="Arial" w:cs="Arial"/>
                <w:noProof/>
                <w:webHidden/>
              </w:rPr>
              <w:fldChar w:fldCharType="end"/>
            </w:r>
          </w:hyperlink>
        </w:p>
        <w:p w14:paraId="1CDF56D2" w14:textId="5FCC0AF2" w:rsidR="0040494E" w:rsidRPr="00F06316" w:rsidRDefault="00EE66CB"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11</w:t>
            </w:r>
            <w:r w:rsidR="0040494E" w:rsidRPr="00F06316">
              <w:rPr>
                <w:rFonts w:ascii="Arial" w:hAnsi="Arial" w:cs="Arial"/>
                <w:webHidden/>
              </w:rPr>
              <w:fldChar w:fldCharType="end"/>
            </w:r>
          </w:hyperlink>
        </w:p>
        <w:p w14:paraId="3F1289FC" w14:textId="19A840F9" w:rsidR="0040494E" w:rsidRPr="00F06316" w:rsidRDefault="00EE66CB">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11</w:t>
            </w:r>
            <w:r w:rsidR="0040494E" w:rsidRPr="00F06316">
              <w:rPr>
                <w:rFonts w:ascii="Arial" w:hAnsi="Arial" w:cs="Arial"/>
                <w:noProof/>
                <w:webHidden/>
              </w:rPr>
              <w:fldChar w:fldCharType="end"/>
            </w:r>
          </w:hyperlink>
        </w:p>
        <w:p w14:paraId="45445E44" w14:textId="0863D441" w:rsidR="0040494E" w:rsidRPr="00F06316" w:rsidRDefault="00EE66CB">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15</w:t>
            </w:r>
            <w:r w:rsidR="0040494E" w:rsidRPr="00F06316">
              <w:rPr>
                <w:rFonts w:ascii="Arial" w:hAnsi="Arial" w:cs="Arial"/>
                <w:noProof/>
                <w:webHidden/>
              </w:rPr>
              <w:fldChar w:fldCharType="end"/>
            </w:r>
          </w:hyperlink>
        </w:p>
        <w:p w14:paraId="6AE128BF" w14:textId="3D2D81AA" w:rsidR="0040494E" w:rsidRPr="00F06316" w:rsidRDefault="00EE66CB">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17</w:t>
            </w:r>
            <w:r w:rsidR="0040494E" w:rsidRPr="00F06316">
              <w:rPr>
                <w:rFonts w:ascii="Arial" w:hAnsi="Arial" w:cs="Arial"/>
                <w:noProof/>
                <w:webHidden/>
              </w:rPr>
              <w:fldChar w:fldCharType="end"/>
            </w:r>
          </w:hyperlink>
        </w:p>
        <w:p w14:paraId="5AE5239E" w14:textId="0978A253" w:rsidR="0040494E" w:rsidRPr="00F06316" w:rsidRDefault="00EE66CB">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18</w:t>
            </w:r>
            <w:r w:rsidR="0040494E" w:rsidRPr="00F06316">
              <w:rPr>
                <w:rFonts w:ascii="Arial" w:hAnsi="Arial" w:cs="Arial"/>
                <w:noProof/>
                <w:webHidden/>
              </w:rPr>
              <w:fldChar w:fldCharType="end"/>
            </w:r>
          </w:hyperlink>
        </w:p>
        <w:p w14:paraId="23944489" w14:textId="0D340ADE" w:rsidR="0040494E" w:rsidRPr="00F06316" w:rsidRDefault="00EE66CB">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A15F0F9" w14:textId="0F6D714C" w:rsidR="0040494E" w:rsidRPr="00F06316" w:rsidRDefault="00EE66CB">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6CA3296" w14:textId="3EF6ED44" w:rsidR="0040494E" w:rsidRPr="00F06316" w:rsidRDefault="00EE66CB">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16036BD4" w14:textId="6FC3C6EC" w:rsidR="0040494E" w:rsidRPr="00F06316" w:rsidRDefault="00EE66CB"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20</w:t>
            </w:r>
            <w:r w:rsidR="0040494E" w:rsidRPr="00F06316">
              <w:rPr>
                <w:rFonts w:ascii="Arial" w:hAnsi="Arial" w:cs="Arial"/>
                <w:webHidden/>
              </w:rPr>
              <w:fldChar w:fldCharType="end"/>
            </w:r>
          </w:hyperlink>
        </w:p>
        <w:p w14:paraId="1C4C547F" w14:textId="2AA66844" w:rsidR="0040494E" w:rsidRPr="00F06316" w:rsidRDefault="00EE66CB">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21</w:t>
            </w:r>
            <w:r w:rsidR="0040494E" w:rsidRPr="00F06316">
              <w:rPr>
                <w:rFonts w:ascii="Arial" w:hAnsi="Arial" w:cs="Arial"/>
                <w:noProof/>
                <w:webHidden/>
              </w:rPr>
              <w:fldChar w:fldCharType="end"/>
            </w:r>
          </w:hyperlink>
        </w:p>
        <w:p w14:paraId="3752539F" w14:textId="4D914E7C" w:rsidR="0040494E" w:rsidRPr="00F06316" w:rsidRDefault="00EE66CB">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23</w:t>
            </w:r>
            <w:r w:rsidR="0040494E" w:rsidRPr="00F06316">
              <w:rPr>
                <w:rFonts w:ascii="Arial" w:hAnsi="Arial" w:cs="Arial"/>
                <w:noProof/>
                <w:webHidden/>
              </w:rPr>
              <w:fldChar w:fldCharType="end"/>
            </w:r>
          </w:hyperlink>
        </w:p>
        <w:p w14:paraId="6C5EB92D" w14:textId="030102F4" w:rsidR="0040494E" w:rsidRPr="00F06316" w:rsidRDefault="00EE66CB"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24</w:t>
            </w:r>
            <w:r w:rsidR="0040494E" w:rsidRPr="00F06316">
              <w:rPr>
                <w:rFonts w:ascii="Arial" w:hAnsi="Arial" w:cs="Arial"/>
                <w:webHidden/>
              </w:rPr>
              <w:fldChar w:fldCharType="end"/>
            </w:r>
          </w:hyperlink>
        </w:p>
        <w:p w14:paraId="08F2D8F4" w14:textId="66DA5979" w:rsidR="0040494E" w:rsidRPr="00F06316" w:rsidRDefault="00EE66CB"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6779C7CE" w14:textId="6D3A981A" w:rsidR="0040494E" w:rsidRPr="00F06316" w:rsidRDefault="00EE66CB"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45F30865" w14:textId="5F803B0D" w:rsidR="0040494E" w:rsidRPr="00F06316" w:rsidRDefault="00EE66CB"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1795ED60" w14:textId="4F04C99A" w:rsidR="0040494E" w:rsidRPr="00F06316" w:rsidRDefault="00EE66CB"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6DC037D1" w14:textId="59A07741" w:rsidR="0040494E" w:rsidRPr="00F06316" w:rsidRDefault="00EE66CB"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28</w:t>
            </w:r>
            <w:r w:rsidR="0040494E" w:rsidRPr="00F06316">
              <w:rPr>
                <w:rFonts w:ascii="Arial" w:hAnsi="Arial" w:cs="Arial"/>
                <w:webHidden/>
              </w:rPr>
              <w:fldChar w:fldCharType="end"/>
            </w:r>
          </w:hyperlink>
        </w:p>
        <w:p w14:paraId="022A32C2" w14:textId="6FC5D915" w:rsidR="0040494E" w:rsidRPr="00F06316" w:rsidRDefault="00EE66CB"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29</w:t>
            </w:r>
            <w:r w:rsidR="0040494E" w:rsidRPr="00F06316">
              <w:rPr>
                <w:rFonts w:ascii="Arial" w:hAnsi="Arial" w:cs="Arial"/>
                <w:webHidden/>
              </w:rPr>
              <w:fldChar w:fldCharType="end"/>
            </w:r>
          </w:hyperlink>
        </w:p>
        <w:p w14:paraId="27E9EA42" w14:textId="0D1DB145" w:rsidR="0040494E" w:rsidRPr="00F06316" w:rsidRDefault="00EE66CB"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53CCBF25" w14:textId="28043E1F" w:rsidR="0040494E" w:rsidRPr="00F06316" w:rsidRDefault="00EE66CB"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70CDBEC3" w14:textId="57AB7043" w:rsidR="0040494E" w:rsidRPr="00F06316" w:rsidRDefault="00EE66CB"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31</w:t>
            </w:r>
            <w:r w:rsidR="0040494E" w:rsidRPr="00F06316">
              <w:rPr>
                <w:rFonts w:ascii="Arial" w:hAnsi="Arial" w:cs="Arial"/>
                <w:webHidden/>
              </w:rPr>
              <w:fldChar w:fldCharType="end"/>
            </w:r>
          </w:hyperlink>
        </w:p>
        <w:p w14:paraId="201C3441" w14:textId="53DFE855" w:rsidR="0040494E" w:rsidRPr="00F06316" w:rsidRDefault="00EE66CB"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750D6D5D" w14:textId="03314EF9" w:rsidR="0040494E" w:rsidRPr="00F06316" w:rsidRDefault="00EE66CB"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1F297B21" w14:textId="03B81064" w:rsidR="0040494E" w:rsidRPr="00F06316" w:rsidRDefault="00EE66CB"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15655BA9" w14:textId="4DB168B7" w:rsidR="0040494E" w:rsidRPr="00F06316" w:rsidRDefault="00EE66CB"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6C7A1E7C" w14:textId="08AC4960" w:rsidR="0040494E" w:rsidRPr="00F06316" w:rsidRDefault="00EE66CB"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23F06ED0" w14:textId="6F93B20F" w:rsidR="0040494E" w:rsidRPr="00F06316" w:rsidRDefault="00EE66CB"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59D7ED77" w14:textId="21AD73FE" w:rsidR="0040494E" w:rsidRPr="00F06316" w:rsidRDefault="00EE66CB"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BBDC825" w14:textId="5485782F" w:rsidR="0040494E" w:rsidRPr="00F06316" w:rsidRDefault="00EE66CB"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AB40C15" w14:textId="55D57576" w:rsidR="0040494E" w:rsidRPr="00F06316" w:rsidRDefault="00EE66CB">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34</w:t>
            </w:r>
            <w:r w:rsidR="0040494E" w:rsidRPr="00F06316">
              <w:rPr>
                <w:rFonts w:ascii="Arial" w:hAnsi="Arial" w:cs="Arial"/>
                <w:noProof/>
                <w:webHidden/>
              </w:rPr>
              <w:fldChar w:fldCharType="end"/>
            </w:r>
          </w:hyperlink>
        </w:p>
        <w:p w14:paraId="784056E5" w14:textId="44A593B6" w:rsidR="0040494E" w:rsidRPr="00F06316" w:rsidRDefault="00EE66CB">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57528427" w14:textId="3C5F4844" w:rsidR="0040494E" w:rsidRPr="00F06316" w:rsidRDefault="00EE66CB">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13A4BAD7" w14:textId="52A3AACF" w:rsidR="0040494E" w:rsidRPr="00F06316" w:rsidRDefault="00EE66CB">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31A08872" w14:textId="0AC7468C" w:rsidR="0040494E" w:rsidRPr="00F06316" w:rsidRDefault="00EE66CB">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769F5C0C" w14:textId="4872BCB4" w:rsidR="0040494E" w:rsidRPr="00F06316" w:rsidRDefault="00EE66CB">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5A9B2202" w14:textId="3C3CB20E" w:rsidR="0040494E" w:rsidRPr="00F06316" w:rsidRDefault="00EE66CB">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0C748511" w14:textId="1034866E" w:rsidR="0040494E" w:rsidRPr="00F06316" w:rsidRDefault="00EE66CB"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37</w:t>
            </w:r>
            <w:r w:rsidR="0040494E" w:rsidRPr="00F06316">
              <w:rPr>
                <w:rFonts w:ascii="Arial" w:hAnsi="Arial" w:cs="Arial"/>
                <w:webHidden/>
              </w:rPr>
              <w:fldChar w:fldCharType="end"/>
            </w:r>
          </w:hyperlink>
        </w:p>
        <w:p w14:paraId="6D218496" w14:textId="430DECAC" w:rsidR="0040494E" w:rsidRPr="00F06316" w:rsidRDefault="00EE66CB">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38</w:t>
            </w:r>
            <w:r w:rsidR="0040494E" w:rsidRPr="00F06316">
              <w:rPr>
                <w:rFonts w:ascii="Arial" w:hAnsi="Arial" w:cs="Arial"/>
                <w:noProof/>
                <w:webHidden/>
              </w:rPr>
              <w:fldChar w:fldCharType="end"/>
            </w:r>
          </w:hyperlink>
        </w:p>
        <w:p w14:paraId="39E85D29" w14:textId="33738031" w:rsidR="0040494E" w:rsidRPr="00F06316" w:rsidRDefault="00EE66CB"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24AD2AD" w14:textId="1795646E" w:rsidR="0040494E" w:rsidRPr="00F06316" w:rsidRDefault="00EE66CB"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B80F617" w14:textId="38AE04DF" w:rsidR="0040494E" w:rsidRPr="00F06316" w:rsidRDefault="00EE66CB"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0D6D8F86" w14:textId="4EDD128A" w:rsidR="0040494E" w:rsidRPr="00F06316" w:rsidRDefault="00EE66CB"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3F27BFE0" w14:textId="0097CB83" w:rsidR="0040494E" w:rsidRPr="00F06316" w:rsidRDefault="00EE66CB"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72F8D70E" w14:textId="3F5CE324" w:rsidR="0040494E" w:rsidRPr="00F06316" w:rsidRDefault="00EE66CB"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4F5F1664" w14:textId="589D921E" w:rsidR="0040494E" w:rsidRPr="00F06316" w:rsidRDefault="00EE66CB"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DEAE029" w14:textId="5AB156B3" w:rsidR="0040494E" w:rsidRPr="00F06316" w:rsidRDefault="00EE66CB"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6A6329B" w14:textId="2B974D42" w:rsidR="0040494E" w:rsidRPr="00F06316" w:rsidRDefault="00EE66CB"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30F01025" w14:textId="2EA09575" w:rsidR="0040494E" w:rsidRDefault="00EE66CB"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6869F3C2" w14:textId="0D87134E" w:rsidR="00ED14C4" w:rsidRPr="00BB4ECD" w:rsidRDefault="00E87FCF" w:rsidP="00BB4ECD">
      <w:pPr>
        <w:pStyle w:val="Ttulo1"/>
        <w:rPr>
          <w:rFonts w:cs="Arial"/>
          <w:b w:val="0"/>
          <w:color w:val="auto"/>
          <w:szCs w:val="28"/>
        </w:rPr>
      </w:pPr>
      <w:bookmarkStart w:id="0" w:name="_Toc135041678"/>
      <w:r w:rsidRPr="00061BB1">
        <w:rPr>
          <w:rFonts w:cs="Arial"/>
          <w:color w:val="auto"/>
          <w:szCs w:val="28"/>
        </w:rPr>
        <w:lastRenderedPageBreak/>
        <w:t>1. INFORMACIÓN GENERAL</w:t>
      </w:r>
      <w:bookmarkEnd w:id="0"/>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C83F55">
            <w:pPr>
              <w:jc w:val="cente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ascii="Arial" w:hAnsi="Arial" w:cs="Arial"/>
                <w:b/>
                <w:sz w:val="20"/>
                <w:szCs w:val="24"/>
              </w:rPr>
            </w:pPr>
            <w:r w:rsidRPr="00061BB1">
              <w:rPr>
                <w:rFonts w:ascii="Arial" w:hAnsi="Arial"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ascii="Arial" w:hAnsi="Arial" w:cs="Arial"/>
                <w:b/>
                <w:sz w:val="20"/>
                <w:szCs w:val="24"/>
              </w:rPr>
            </w:pPr>
            <w:r w:rsidRPr="00061BB1">
              <w:rPr>
                <w:rFonts w:ascii="Arial" w:hAnsi="Arial" w:cs="Arial"/>
                <w:b/>
                <w:sz w:val="20"/>
                <w:szCs w:val="24"/>
              </w:rPr>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 xml:space="preserve">que será aportado al Fondo Impulso Jalisco, equivalente al 0.5 punto </w:t>
            </w:r>
            <w:r w:rsidRPr="00061BB1">
              <w:rPr>
                <w:rFonts w:ascii="Arial" w:hAnsi="Arial" w:cs="Arial"/>
                <w:sz w:val="20"/>
                <w:szCs w:val="20"/>
              </w:rPr>
              <w:lastRenderedPageBreak/>
              <w:t>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ascii="Arial" w:hAnsi="Arial" w:cs="Arial"/>
                <w:b/>
                <w:sz w:val="20"/>
                <w:szCs w:val="24"/>
              </w:rPr>
            </w:pPr>
            <w:r w:rsidRPr="00061BB1">
              <w:rPr>
                <w:rFonts w:ascii="Arial" w:hAnsi="Arial" w:cs="Arial"/>
                <w:b/>
                <w:sz w:val="20"/>
                <w:szCs w:val="24"/>
              </w:rPr>
              <w:lastRenderedPageBreak/>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ascii="Arial" w:hAnsi="Arial" w:cs="Arial"/>
                <w:b/>
                <w:sz w:val="20"/>
                <w:szCs w:val="24"/>
              </w:rPr>
            </w:pPr>
            <w:r w:rsidRPr="00061BB1">
              <w:rPr>
                <w:rFonts w:ascii="Arial" w:hAnsi="Arial"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ascii="Arial" w:hAnsi="Arial" w:cs="Arial"/>
                <w:b/>
                <w:sz w:val="20"/>
                <w:szCs w:val="24"/>
              </w:rPr>
            </w:pPr>
            <w:r w:rsidRPr="00061BB1">
              <w:rPr>
                <w:rFonts w:ascii="Arial" w:hAnsi="Arial"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ascii="Arial" w:hAnsi="Arial" w:cs="Arial"/>
                <w:b/>
                <w:sz w:val="20"/>
                <w:szCs w:val="24"/>
              </w:rPr>
            </w:pPr>
            <w:r w:rsidRPr="00061BB1">
              <w:rPr>
                <w:rFonts w:ascii="Arial" w:hAnsi="Arial"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ascii="Arial" w:hAnsi="Arial" w:cs="Arial"/>
                <w:b/>
                <w:sz w:val="20"/>
                <w:szCs w:val="24"/>
              </w:rPr>
            </w:pPr>
            <w:r w:rsidRPr="00061BB1">
              <w:rPr>
                <w:rFonts w:ascii="Arial" w:hAnsi="Arial"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061BB1">
        <w:lastRenderedPageBreak/>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9E15A4" w14:paraId="79372FF2" w14:textId="77777777" w:rsidTr="001D3950">
        <w:tc>
          <w:tcPr>
            <w:tcW w:w="562" w:type="dxa"/>
            <w:shd w:val="clear" w:color="auto" w:fill="BFBFBF" w:themeFill="background1" w:themeFillShade="BF"/>
            <w:vAlign w:val="center"/>
          </w:tcPr>
          <w:p w14:paraId="5EF15E71" w14:textId="3AEEEFAD" w:rsidR="00E87FCF" w:rsidRPr="009E15A4" w:rsidRDefault="00886770" w:rsidP="001D3950">
            <w:pPr>
              <w:jc w:val="center"/>
              <w:rPr>
                <w:rFonts w:ascii="Arial" w:hAnsi="Arial" w:cs="Arial"/>
                <w:b/>
                <w:sz w:val="20"/>
                <w:szCs w:val="20"/>
              </w:rPr>
            </w:pPr>
            <w:r w:rsidRPr="009E15A4">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Lugar</w:t>
            </w:r>
          </w:p>
        </w:tc>
      </w:tr>
      <w:tr w:rsidR="00E87FCF" w:rsidRPr="009E15A4" w14:paraId="529B61CA" w14:textId="77777777" w:rsidTr="001D3950">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ascii="Arial" w:hAnsi="Arial" w:cs="Arial"/>
                <w:b/>
                <w:sz w:val="20"/>
                <w:szCs w:val="20"/>
              </w:rPr>
            </w:pPr>
            <w:r w:rsidRPr="009E15A4">
              <w:rPr>
                <w:rFonts w:ascii="Arial" w:hAnsi="Arial" w:cs="Arial"/>
                <w:b/>
                <w:sz w:val="20"/>
                <w:szCs w:val="20"/>
              </w:rPr>
              <w:t>1</w:t>
            </w:r>
          </w:p>
        </w:tc>
        <w:tc>
          <w:tcPr>
            <w:tcW w:w="2410" w:type="dxa"/>
            <w:vAlign w:val="center"/>
          </w:tcPr>
          <w:p w14:paraId="47AE44B7" w14:textId="77777777" w:rsidR="00E87FCF" w:rsidRPr="009E15A4" w:rsidRDefault="00E87FCF" w:rsidP="00886770">
            <w:pPr>
              <w:rPr>
                <w:rFonts w:ascii="Arial" w:hAnsi="Arial" w:cs="Arial"/>
                <w:sz w:val="20"/>
                <w:szCs w:val="20"/>
              </w:rPr>
            </w:pPr>
            <w:r w:rsidRPr="009E15A4">
              <w:rPr>
                <w:rFonts w:ascii="Arial" w:hAnsi="Arial" w:cs="Arial"/>
                <w:sz w:val="20"/>
                <w:szCs w:val="20"/>
              </w:rPr>
              <w:t>Publicación</w:t>
            </w:r>
          </w:p>
          <w:p w14:paraId="038F05A3" w14:textId="7A2F8D5C" w:rsidR="00E87FCF" w:rsidRPr="009E15A4" w:rsidRDefault="001D3950" w:rsidP="00886770">
            <w:pPr>
              <w:rPr>
                <w:rFonts w:ascii="Arial" w:hAnsi="Arial" w:cs="Arial"/>
                <w:sz w:val="20"/>
                <w:szCs w:val="20"/>
              </w:rPr>
            </w:pPr>
            <w:r w:rsidRPr="009E15A4">
              <w:rPr>
                <w:rFonts w:ascii="Arial" w:hAnsi="Arial" w:cs="Arial"/>
                <w:sz w:val="20"/>
                <w:szCs w:val="20"/>
              </w:rPr>
              <w:t>de convocatoria/b</w:t>
            </w:r>
            <w:r w:rsidR="00E87FCF" w:rsidRPr="009E15A4">
              <w:rPr>
                <w:rFonts w:ascii="Arial" w:hAnsi="Arial" w:cs="Arial"/>
                <w:sz w:val="20"/>
                <w:szCs w:val="20"/>
              </w:rPr>
              <w:t>ases.</w:t>
            </w:r>
          </w:p>
        </w:tc>
        <w:tc>
          <w:tcPr>
            <w:tcW w:w="2126" w:type="dxa"/>
            <w:vAlign w:val="center"/>
          </w:tcPr>
          <w:p w14:paraId="20D7F9EF" w14:textId="498AE672" w:rsidR="00E87FCF" w:rsidRPr="009E15A4" w:rsidRDefault="00EE66CB" w:rsidP="00D73BA5">
            <w:pPr>
              <w:jc w:val="both"/>
              <w:rPr>
                <w:rFonts w:ascii="Arial" w:hAnsi="Arial" w:cs="Arial"/>
                <w:sz w:val="20"/>
                <w:szCs w:val="20"/>
              </w:rPr>
            </w:pPr>
            <w:r>
              <w:rPr>
                <w:rFonts w:ascii="Arial" w:hAnsi="Arial" w:cs="Arial"/>
                <w:sz w:val="20"/>
                <w:szCs w:val="20"/>
              </w:rPr>
              <w:t>Viernes 08</w:t>
            </w:r>
            <w:r w:rsidR="004E4940">
              <w:rPr>
                <w:rFonts w:ascii="Arial" w:hAnsi="Arial" w:cs="Arial"/>
                <w:sz w:val="20"/>
                <w:szCs w:val="20"/>
              </w:rPr>
              <w:t xml:space="preserve"> de </w:t>
            </w:r>
            <w:r>
              <w:rPr>
                <w:rFonts w:ascii="Arial" w:hAnsi="Arial" w:cs="Arial"/>
                <w:sz w:val="20"/>
                <w:szCs w:val="20"/>
              </w:rPr>
              <w:t>dici</w:t>
            </w:r>
            <w:r w:rsidR="00D73BA5">
              <w:rPr>
                <w:rFonts w:ascii="Arial" w:hAnsi="Arial" w:cs="Arial"/>
                <w:sz w:val="20"/>
                <w:szCs w:val="20"/>
              </w:rPr>
              <w:t>embre de</w:t>
            </w:r>
            <w:r w:rsidR="00F9166E" w:rsidRPr="009E15A4">
              <w:rPr>
                <w:rFonts w:ascii="Arial" w:hAnsi="Arial" w:cs="Arial"/>
                <w:sz w:val="20"/>
                <w:szCs w:val="20"/>
              </w:rPr>
              <w:t xml:space="preserve"> 2023 </w:t>
            </w:r>
          </w:p>
        </w:tc>
        <w:tc>
          <w:tcPr>
            <w:tcW w:w="2410" w:type="dxa"/>
            <w:vAlign w:val="center"/>
          </w:tcPr>
          <w:p w14:paraId="189C16C0" w14:textId="77777777" w:rsidR="00E87FCF" w:rsidRPr="009E15A4" w:rsidRDefault="00E87FCF" w:rsidP="00D25F1E">
            <w:pPr>
              <w:jc w:val="both"/>
              <w:rPr>
                <w:rFonts w:ascii="Arial" w:hAnsi="Arial" w:cs="Arial"/>
                <w:sz w:val="20"/>
                <w:szCs w:val="20"/>
              </w:rPr>
            </w:pPr>
            <w:r w:rsidRPr="009E15A4">
              <w:rPr>
                <w:rFonts w:ascii="Arial" w:hAnsi="Arial" w:cs="Arial"/>
                <w:sz w:val="20"/>
                <w:szCs w:val="20"/>
              </w:rPr>
              <w:t xml:space="preserve">Portal ASEJ: </w:t>
            </w:r>
          </w:p>
          <w:p w14:paraId="37217DD2" w14:textId="77777777" w:rsidR="00E87FCF" w:rsidRPr="009E15A4" w:rsidRDefault="00EE66CB" w:rsidP="00D25F1E">
            <w:pPr>
              <w:jc w:val="both"/>
              <w:rPr>
                <w:rFonts w:ascii="Arial" w:hAnsi="Arial" w:cs="Arial"/>
                <w:sz w:val="20"/>
                <w:szCs w:val="20"/>
              </w:rPr>
            </w:pPr>
            <w:hyperlink r:id="rId8" w:history="1">
              <w:r w:rsidR="00E87FCF" w:rsidRPr="009E15A4">
                <w:rPr>
                  <w:rStyle w:val="Hipervnculo"/>
                  <w:rFonts w:ascii="Arial" w:hAnsi="Arial" w:cs="Arial"/>
                  <w:sz w:val="18"/>
                  <w:szCs w:val="20"/>
                </w:rPr>
                <w:t>https://www.asej.gob.mx/transparencia_asej/convocatorias</w:t>
              </w:r>
            </w:hyperlink>
            <w:r w:rsidR="00E87FCF" w:rsidRPr="009E15A4">
              <w:rPr>
                <w:rFonts w:ascii="Arial" w:hAnsi="Arial" w:cs="Arial"/>
                <w:sz w:val="18"/>
                <w:szCs w:val="20"/>
              </w:rPr>
              <w:t xml:space="preserve"> </w:t>
            </w:r>
          </w:p>
        </w:tc>
        <w:tc>
          <w:tcPr>
            <w:tcW w:w="1559" w:type="dxa"/>
            <w:vAlign w:val="center"/>
          </w:tcPr>
          <w:p w14:paraId="1AE4B25D" w14:textId="4ACC7FA0" w:rsidR="00E87FCF" w:rsidRPr="009E15A4" w:rsidRDefault="00886770" w:rsidP="00D25F1E">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6BCC4950" w14:textId="77777777" w:rsidTr="001D3950">
        <w:trPr>
          <w:trHeight w:val="920"/>
        </w:trPr>
        <w:tc>
          <w:tcPr>
            <w:tcW w:w="562" w:type="dxa"/>
            <w:shd w:val="clear" w:color="auto" w:fill="BFBFBF" w:themeFill="background1" w:themeFillShade="BF"/>
            <w:vAlign w:val="center"/>
          </w:tcPr>
          <w:p w14:paraId="43FD1B8E" w14:textId="44AFF47B" w:rsidR="00886770" w:rsidRPr="009E15A4" w:rsidRDefault="00B03113" w:rsidP="001D3950">
            <w:pPr>
              <w:jc w:val="center"/>
              <w:rPr>
                <w:rFonts w:ascii="Arial" w:hAnsi="Arial" w:cs="Arial"/>
                <w:b/>
                <w:sz w:val="20"/>
                <w:szCs w:val="20"/>
              </w:rPr>
            </w:pPr>
            <w:r>
              <w:rPr>
                <w:rFonts w:ascii="Arial" w:hAnsi="Arial" w:cs="Arial"/>
                <w:b/>
                <w:sz w:val="20"/>
                <w:szCs w:val="20"/>
              </w:rPr>
              <w:t>2</w:t>
            </w:r>
          </w:p>
        </w:tc>
        <w:tc>
          <w:tcPr>
            <w:tcW w:w="2410" w:type="dxa"/>
            <w:vAlign w:val="center"/>
          </w:tcPr>
          <w:p w14:paraId="6016E256" w14:textId="5369ACA7" w:rsidR="00886770" w:rsidRPr="009E15A4" w:rsidRDefault="00886770" w:rsidP="00886770">
            <w:pPr>
              <w:rPr>
                <w:rFonts w:ascii="Arial" w:hAnsi="Arial" w:cs="Arial"/>
                <w:sz w:val="20"/>
                <w:szCs w:val="20"/>
              </w:rPr>
            </w:pPr>
            <w:r w:rsidRPr="009E15A4">
              <w:rPr>
                <w:rFonts w:ascii="Arial" w:hAnsi="Arial" w:cs="Arial"/>
                <w:sz w:val="20"/>
                <w:szCs w:val="20"/>
              </w:rPr>
              <w:t>Presentación de dudas</w:t>
            </w:r>
          </w:p>
        </w:tc>
        <w:tc>
          <w:tcPr>
            <w:tcW w:w="2126" w:type="dxa"/>
            <w:vAlign w:val="center"/>
          </w:tcPr>
          <w:p w14:paraId="68F5EF95" w14:textId="1517FBC9" w:rsidR="00886770" w:rsidRPr="009E15A4" w:rsidRDefault="00EE66CB" w:rsidP="006038D7">
            <w:pPr>
              <w:jc w:val="both"/>
              <w:rPr>
                <w:rFonts w:ascii="Arial" w:hAnsi="Arial" w:cs="Arial"/>
                <w:sz w:val="20"/>
                <w:szCs w:val="20"/>
              </w:rPr>
            </w:pPr>
            <w:r>
              <w:rPr>
                <w:rFonts w:ascii="Arial" w:hAnsi="Arial" w:cs="Arial"/>
                <w:sz w:val="20"/>
                <w:szCs w:val="20"/>
              </w:rPr>
              <w:t>Martes 12</w:t>
            </w:r>
            <w:r w:rsidR="00B03113">
              <w:rPr>
                <w:rFonts w:ascii="Arial" w:hAnsi="Arial" w:cs="Arial"/>
                <w:sz w:val="20"/>
                <w:szCs w:val="20"/>
              </w:rPr>
              <w:t xml:space="preserve"> de </w:t>
            </w:r>
            <w:r>
              <w:rPr>
                <w:rFonts w:ascii="Arial" w:hAnsi="Arial" w:cs="Arial"/>
                <w:sz w:val="20"/>
                <w:szCs w:val="20"/>
              </w:rPr>
              <w:t>diciembre</w:t>
            </w:r>
            <w:r w:rsidR="00EB2361">
              <w:rPr>
                <w:rFonts w:ascii="Arial" w:hAnsi="Arial" w:cs="Arial"/>
                <w:sz w:val="20"/>
                <w:szCs w:val="20"/>
              </w:rPr>
              <w:t xml:space="preserve"> </w:t>
            </w:r>
            <w:r w:rsidR="001D3950" w:rsidRPr="009E15A4">
              <w:rPr>
                <w:rFonts w:ascii="Arial" w:hAnsi="Arial" w:cs="Arial"/>
                <w:sz w:val="20"/>
                <w:szCs w:val="20"/>
              </w:rPr>
              <w:t xml:space="preserve"> de</w:t>
            </w:r>
            <w:r w:rsidR="00F40DE9" w:rsidRPr="009E15A4">
              <w:rPr>
                <w:rFonts w:ascii="Arial" w:hAnsi="Arial" w:cs="Arial"/>
                <w:sz w:val="20"/>
                <w:szCs w:val="20"/>
              </w:rPr>
              <w:t xml:space="preserve"> 2023</w:t>
            </w:r>
          </w:p>
        </w:tc>
        <w:tc>
          <w:tcPr>
            <w:tcW w:w="2410" w:type="dxa"/>
            <w:vAlign w:val="center"/>
          </w:tcPr>
          <w:p w14:paraId="3DF50803" w14:textId="10609019" w:rsidR="00886770" w:rsidRPr="009E15A4" w:rsidRDefault="00F40DE9" w:rsidP="006038D7">
            <w:pPr>
              <w:jc w:val="both"/>
              <w:rPr>
                <w:rFonts w:ascii="Arial" w:hAnsi="Arial" w:cs="Arial"/>
                <w:sz w:val="20"/>
                <w:szCs w:val="20"/>
              </w:rPr>
            </w:pPr>
            <w:r w:rsidRPr="009E15A4">
              <w:rPr>
                <w:rFonts w:ascii="Arial" w:hAnsi="Arial" w:cs="Arial"/>
                <w:sz w:val="20"/>
                <w:szCs w:val="20"/>
              </w:rPr>
              <w:t>A más tardar a las 1</w:t>
            </w:r>
            <w:r w:rsidR="006038D7">
              <w:rPr>
                <w:rFonts w:ascii="Arial" w:hAnsi="Arial" w:cs="Arial"/>
                <w:sz w:val="20"/>
                <w:szCs w:val="20"/>
              </w:rPr>
              <w:t>3</w:t>
            </w:r>
            <w:r w:rsidRPr="009E15A4">
              <w:rPr>
                <w:rFonts w:ascii="Arial" w:hAnsi="Arial" w:cs="Arial"/>
                <w:sz w:val="20"/>
                <w:szCs w:val="20"/>
              </w:rPr>
              <w:t>:00</w:t>
            </w:r>
            <w:r w:rsidR="000A578C" w:rsidRPr="009E15A4">
              <w:rPr>
                <w:rFonts w:ascii="Arial" w:hAnsi="Arial" w:cs="Arial"/>
                <w:sz w:val="20"/>
                <w:szCs w:val="20"/>
              </w:rPr>
              <w:t xml:space="preserve"> horas</w:t>
            </w:r>
            <w:r w:rsidRPr="009E15A4">
              <w:rPr>
                <w:rFonts w:ascii="Arial" w:hAnsi="Arial" w:cs="Arial"/>
                <w:sz w:val="20"/>
                <w:szCs w:val="20"/>
              </w:rPr>
              <w:t xml:space="preserve">, remitir al correo </w:t>
            </w:r>
            <w:hyperlink r:id="rId9" w:history="1">
              <w:r w:rsidRPr="009E15A4">
                <w:rPr>
                  <w:rStyle w:val="Hipervnculo"/>
                  <w:rFonts w:ascii="Arial" w:hAnsi="Arial" w:cs="Arial"/>
                  <w:sz w:val="18"/>
                  <w:szCs w:val="20"/>
                </w:rPr>
                <w:t>licitaciones@asej.gob.mx</w:t>
              </w:r>
            </w:hyperlink>
            <w:r w:rsidRPr="009E15A4">
              <w:rPr>
                <w:rFonts w:ascii="Arial" w:hAnsi="Arial" w:cs="Arial"/>
                <w:sz w:val="18"/>
                <w:szCs w:val="20"/>
              </w:rPr>
              <w:t xml:space="preserve"> </w:t>
            </w:r>
          </w:p>
        </w:tc>
        <w:tc>
          <w:tcPr>
            <w:tcW w:w="1559" w:type="dxa"/>
            <w:vAlign w:val="center"/>
          </w:tcPr>
          <w:p w14:paraId="7C412F9B" w14:textId="66EB1546"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886770" w:rsidRPr="009E15A4" w14:paraId="5A0059F7" w14:textId="77777777" w:rsidTr="001D3950">
        <w:trPr>
          <w:trHeight w:val="552"/>
        </w:trPr>
        <w:tc>
          <w:tcPr>
            <w:tcW w:w="562" w:type="dxa"/>
            <w:shd w:val="clear" w:color="auto" w:fill="BFBFBF" w:themeFill="background1" w:themeFillShade="BF"/>
            <w:vAlign w:val="center"/>
          </w:tcPr>
          <w:p w14:paraId="2A19326B" w14:textId="586B9A00" w:rsidR="00886770" w:rsidRPr="009E15A4" w:rsidRDefault="00B03113" w:rsidP="001D3950">
            <w:pPr>
              <w:jc w:val="center"/>
              <w:rPr>
                <w:rFonts w:ascii="Arial" w:hAnsi="Arial" w:cs="Arial"/>
                <w:b/>
                <w:sz w:val="20"/>
                <w:szCs w:val="20"/>
              </w:rPr>
            </w:pPr>
            <w:r>
              <w:rPr>
                <w:rFonts w:ascii="Arial" w:hAnsi="Arial" w:cs="Arial"/>
                <w:b/>
                <w:sz w:val="20"/>
                <w:szCs w:val="20"/>
              </w:rPr>
              <w:t>3</w:t>
            </w:r>
          </w:p>
        </w:tc>
        <w:tc>
          <w:tcPr>
            <w:tcW w:w="2410" w:type="dxa"/>
            <w:vAlign w:val="center"/>
          </w:tcPr>
          <w:p w14:paraId="23AFF7BB" w14:textId="58CF2FDA" w:rsidR="00886770" w:rsidRPr="009E15A4" w:rsidRDefault="00886770" w:rsidP="00886770">
            <w:pPr>
              <w:rPr>
                <w:rFonts w:ascii="Arial" w:hAnsi="Arial" w:cs="Arial"/>
                <w:sz w:val="20"/>
                <w:szCs w:val="20"/>
              </w:rPr>
            </w:pPr>
            <w:r w:rsidRPr="009E15A4">
              <w:rPr>
                <w:rFonts w:ascii="Arial" w:hAnsi="Arial" w:cs="Arial"/>
                <w:sz w:val="20"/>
                <w:szCs w:val="20"/>
              </w:rPr>
              <w:t>Junta de Aclaraciones.</w:t>
            </w:r>
          </w:p>
        </w:tc>
        <w:tc>
          <w:tcPr>
            <w:tcW w:w="2126" w:type="dxa"/>
            <w:vAlign w:val="center"/>
          </w:tcPr>
          <w:p w14:paraId="30BF9800" w14:textId="75C8C930" w:rsidR="00886770" w:rsidRPr="009E15A4" w:rsidRDefault="00EE66CB" w:rsidP="00B03113">
            <w:pPr>
              <w:jc w:val="both"/>
              <w:rPr>
                <w:rFonts w:ascii="Arial" w:hAnsi="Arial" w:cs="Arial"/>
                <w:sz w:val="20"/>
                <w:szCs w:val="20"/>
              </w:rPr>
            </w:pPr>
            <w:r>
              <w:rPr>
                <w:rFonts w:ascii="Arial" w:hAnsi="Arial" w:cs="Arial"/>
                <w:sz w:val="20"/>
                <w:szCs w:val="20"/>
              </w:rPr>
              <w:t>Jueves 1</w:t>
            </w:r>
            <w:r w:rsidR="006038D7">
              <w:rPr>
                <w:rFonts w:ascii="Arial" w:hAnsi="Arial" w:cs="Arial"/>
                <w:sz w:val="20"/>
                <w:szCs w:val="20"/>
              </w:rPr>
              <w:t>4</w:t>
            </w:r>
            <w:r w:rsidR="00B03113">
              <w:rPr>
                <w:rFonts w:ascii="Arial" w:hAnsi="Arial" w:cs="Arial"/>
                <w:sz w:val="20"/>
                <w:szCs w:val="20"/>
              </w:rPr>
              <w:t xml:space="preserve"> de diciembre de</w:t>
            </w:r>
            <w:r w:rsidR="001D3950" w:rsidRPr="009E15A4">
              <w:rPr>
                <w:rFonts w:ascii="Arial" w:hAnsi="Arial" w:cs="Arial"/>
                <w:sz w:val="20"/>
                <w:szCs w:val="20"/>
              </w:rPr>
              <w:t xml:space="preserve"> </w:t>
            </w:r>
            <w:r w:rsidR="00F40DE9" w:rsidRPr="009E15A4">
              <w:rPr>
                <w:rFonts w:ascii="Arial" w:hAnsi="Arial" w:cs="Arial"/>
                <w:sz w:val="20"/>
                <w:szCs w:val="20"/>
              </w:rPr>
              <w:t xml:space="preserve"> 2023 </w:t>
            </w:r>
          </w:p>
        </w:tc>
        <w:tc>
          <w:tcPr>
            <w:tcW w:w="2410" w:type="dxa"/>
            <w:vAlign w:val="center"/>
          </w:tcPr>
          <w:p w14:paraId="41371463" w14:textId="020EEB25" w:rsidR="00886770" w:rsidRPr="009E15A4" w:rsidRDefault="005E68CB" w:rsidP="00EB2361">
            <w:pPr>
              <w:jc w:val="center"/>
              <w:rPr>
                <w:rFonts w:ascii="Arial" w:hAnsi="Arial" w:cs="Arial"/>
                <w:sz w:val="20"/>
                <w:szCs w:val="20"/>
              </w:rPr>
            </w:pPr>
            <w:r w:rsidRPr="009E15A4">
              <w:rPr>
                <w:rFonts w:ascii="Arial" w:hAnsi="Arial" w:cs="Arial"/>
                <w:sz w:val="20"/>
                <w:szCs w:val="20"/>
              </w:rPr>
              <w:t>1</w:t>
            </w:r>
            <w:r w:rsidR="00460114">
              <w:rPr>
                <w:rFonts w:ascii="Arial" w:hAnsi="Arial" w:cs="Arial"/>
                <w:sz w:val="20"/>
                <w:szCs w:val="20"/>
              </w:rPr>
              <w:t>1</w:t>
            </w:r>
            <w:r w:rsidR="00F40DE9" w:rsidRPr="009E15A4">
              <w:rPr>
                <w:rFonts w:ascii="Arial" w:hAnsi="Arial" w:cs="Arial"/>
                <w:sz w:val="20"/>
                <w:szCs w:val="20"/>
              </w:rPr>
              <w:t>:</w:t>
            </w:r>
            <w:r w:rsidR="00460114">
              <w:rPr>
                <w:rFonts w:ascii="Arial" w:hAnsi="Arial" w:cs="Arial"/>
                <w:sz w:val="20"/>
                <w:szCs w:val="20"/>
              </w:rPr>
              <w:t>0</w:t>
            </w:r>
            <w:r w:rsidR="00F40DE9" w:rsidRPr="009E15A4">
              <w:rPr>
                <w:rFonts w:ascii="Arial" w:hAnsi="Arial" w:cs="Arial"/>
                <w:sz w:val="20"/>
                <w:szCs w:val="20"/>
              </w:rPr>
              <w:t>0</w:t>
            </w:r>
            <w:r w:rsidR="000A578C" w:rsidRPr="009E15A4">
              <w:rPr>
                <w:rFonts w:ascii="Arial" w:hAnsi="Arial" w:cs="Arial"/>
                <w:sz w:val="20"/>
                <w:szCs w:val="20"/>
              </w:rPr>
              <w:t xml:space="preserve"> horas</w:t>
            </w:r>
          </w:p>
        </w:tc>
        <w:tc>
          <w:tcPr>
            <w:tcW w:w="1559" w:type="dxa"/>
            <w:vAlign w:val="center"/>
          </w:tcPr>
          <w:p w14:paraId="7915F261" w14:textId="746D3FC2"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7F7E9233" w14:textId="77777777" w:rsidTr="001D3950">
        <w:trPr>
          <w:trHeight w:val="552"/>
        </w:trPr>
        <w:tc>
          <w:tcPr>
            <w:tcW w:w="562" w:type="dxa"/>
            <w:shd w:val="clear" w:color="auto" w:fill="BFBFBF" w:themeFill="background1" w:themeFillShade="BF"/>
            <w:vAlign w:val="center"/>
          </w:tcPr>
          <w:p w14:paraId="4C8A231F" w14:textId="21F79123" w:rsidR="007B3A4D" w:rsidRPr="009E15A4" w:rsidRDefault="00B03113" w:rsidP="001D3950">
            <w:pPr>
              <w:jc w:val="center"/>
              <w:rPr>
                <w:rFonts w:ascii="Arial" w:hAnsi="Arial" w:cs="Arial"/>
                <w:b/>
                <w:sz w:val="20"/>
                <w:szCs w:val="20"/>
              </w:rPr>
            </w:pPr>
            <w:r>
              <w:rPr>
                <w:rFonts w:ascii="Arial" w:hAnsi="Arial" w:cs="Arial"/>
                <w:b/>
                <w:sz w:val="20"/>
                <w:szCs w:val="20"/>
              </w:rPr>
              <w:t>4</w:t>
            </w:r>
          </w:p>
        </w:tc>
        <w:tc>
          <w:tcPr>
            <w:tcW w:w="2410" w:type="dxa"/>
            <w:vAlign w:val="center"/>
          </w:tcPr>
          <w:p w14:paraId="6A723114" w14:textId="5AE4AF81" w:rsidR="007B3A4D" w:rsidRPr="009E15A4" w:rsidRDefault="007B3A4D" w:rsidP="00886770">
            <w:pPr>
              <w:rPr>
                <w:rFonts w:ascii="Arial" w:hAnsi="Arial" w:cs="Arial"/>
                <w:sz w:val="20"/>
                <w:szCs w:val="20"/>
              </w:rPr>
            </w:pPr>
            <w:r w:rsidRPr="009E15A4">
              <w:rPr>
                <w:rFonts w:ascii="Arial" w:hAnsi="Arial" w:cs="Arial"/>
                <w:sz w:val="20"/>
                <w:szCs w:val="20"/>
              </w:rPr>
              <w:t>Entrega de proposiciones</w:t>
            </w:r>
          </w:p>
        </w:tc>
        <w:tc>
          <w:tcPr>
            <w:tcW w:w="4536" w:type="dxa"/>
            <w:gridSpan w:val="2"/>
            <w:vAlign w:val="center"/>
          </w:tcPr>
          <w:p w14:paraId="3E6A829D" w14:textId="60EFBA4C" w:rsidR="007B3A4D" w:rsidRPr="009E15A4" w:rsidRDefault="007B5759" w:rsidP="007B5759">
            <w:pPr>
              <w:jc w:val="both"/>
              <w:rPr>
                <w:rFonts w:ascii="Arial" w:hAnsi="Arial" w:cs="Arial"/>
                <w:sz w:val="20"/>
                <w:szCs w:val="20"/>
              </w:rPr>
            </w:pPr>
            <w:r w:rsidRPr="00F7753C">
              <w:rPr>
                <w:rFonts w:ascii="Arial" w:hAnsi="Arial" w:cs="Arial"/>
                <w:sz w:val="20"/>
                <w:szCs w:val="20"/>
                <w:highlight w:val="cyan"/>
              </w:rPr>
              <w:t>Desde la publicación de la Convocatoria y h</w:t>
            </w:r>
            <w:r w:rsidR="007B3A4D" w:rsidRPr="00F7753C">
              <w:rPr>
                <w:rFonts w:ascii="Arial" w:hAnsi="Arial" w:cs="Arial"/>
                <w:sz w:val="20"/>
                <w:szCs w:val="20"/>
                <w:highlight w:val="cyan"/>
              </w:rPr>
              <w:t>asta 30 minutos antes de la apertura de propuestas</w:t>
            </w:r>
            <w:r w:rsidRPr="00F7753C">
              <w:rPr>
                <w:rFonts w:ascii="Arial" w:hAnsi="Arial" w:cs="Arial"/>
                <w:sz w:val="20"/>
                <w:szCs w:val="20"/>
                <w:highlight w:val="cyan"/>
              </w:rPr>
              <w:t>, en Oficialía de Partes de la Auditoría Superior del Estado de Jalisco</w:t>
            </w:r>
            <w:r w:rsidR="007B3A4D" w:rsidRPr="00F7753C">
              <w:rPr>
                <w:rFonts w:ascii="Arial" w:hAnsi="Arial" w:cs="Arial"/>
                <w:sz w:val="20"/>
                <w:szCs w:val="20"/>
                <w:highlight w:val="cyan"/>
              </w:rPr>
              <w:t>.</w:t>
            </w:r>
          </w:p>
        </w:tc>
        <w:tc>
          <w:tcPr>
            <w:tcW w:w="1559" w:type="dxa"/>
            <w:vAlign w:val="center"/>
          </w:tcPr>
          <w:p w14:paraId="17219C87" w14:textId="65BCE60E" w:rsidR="007B3A4D" w:rsidRPr="009E15A4" w:rsidRDefault="0008563A" w:rsidP="00886770">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511EED87" w14:textId="77777777" w:rsidTr="001D3950">
        <w:trPr>
          <w:trHeight w:val="920"/>
        </w:trPr>
        <w:tc>
          <w:tcPr>
            <w:tcW w:w="562" w:type="dxa"/>
            <w:shd w:val="clear" w:color="auto" w:fill="BFBFBF" w:themeFill="background1" w:themeFillShade="BF"/>
            <w:vAlign w:val="center"/>
          </w:tcPr>
          <w:p w14:paraId="7B5C9AF9" w14:textId="76FCAABA" w:rsidR="00886770" w:rsidRPr="009E15A4" w:rsidRDefault="00B03113" w:rsidP="001D3950">
            <w:pPr>
              <w:jc w:val="center"/>
              <w:rPr>
                <w:rFonts w:ascii="Arial" w:hAnsi="Arial" w:cs="Arial"/>
                <w:b/>
                <w:sz w:val="20"/>
                <w:szCs w:val="20"/>
              </w:rPr>
            </w:pPr>
            <w:r>
              <w:rPr>
                <w:rFonts w:ascii="Arial" w:hAnsi="Arial" w:cs="Arial"/>
                <w:b/>
                <w:sz w:val="20"/>
                <w:szCs w:val="20"/>
              </w:rPr>
              <w:t>5</w:t>
            </w:r>
          </w:p>
        </w:tc>
        <w:tc>
          <w:tcPr>
            <w:tcW w:w="2410" w:type="dxa"/>
            <w:vAlign w:val="center"/>
          </w:tcPr>
          <w:p w14:paraId="2AB23027" w14:textId="063E22B3" w:rsidR="00886770" w:rsidRPr="009E15A4" w:rsidRDefault="00886770" w:rsidP="001D3950">
            <w:pPr>
              <w:rPr>
                <w:rFonts w:ascii="Arial" w:hAnsi="Arial" w:cs="Arial"/>
                <w:sz w:val="20"/>
                <w:szCs w:val="20"/>
              </w:rPr>
            </w:pPr>
            <w:r w:rsidRPr="009E15A4">
              <w:rPr>
                <w:rFonts w:ascii="Arial" w:hAnsi="Arial" w:cs="Arial"/>
                <w:sz w:val="20"/>
                <w:szCs w:val="20"/>
              </w:rPr>
              <w:t xml:space="preserve">Acto de presentación y apertura de </w:t>
            </w:r>
            <w:r w:rsidR="001D3950" w:rsidRPr="009E15A4">
              <w:rPr>
                <w:rFonts w:ascii="Arial" w:hAnsi="Arial" w:cs="Arial"/>
                <w:sz w:val="20"/>
                <w:szCs w:val="20"/>
              </w:rPr>
              <w:t>propuestas</w:t>
            </w:r>
            <w:r w:rsidRPr="009E15A4">
              <w:rPr>
                <w:rFonts w:ascii="Arial" w:hAnsi="Arial" w:cs="Arial"/>
                <w:sz w:val="20"/>
                <w:szCs w:val="20"/>
              </w:rPr>
              <w:t xml:space="preserve">. </w:t>
            </w:r>
          </w:p>
        </w:tc>
        <w:tc>
          <w:tcPr>
            <w:tcW w:w="2126" w:type="dxa"/>
            <w:vAlign w:val="center"/>
          </w:tcPr>
          <w:p w14:paraId="10EE1F03" w14:textId="74D7FD5B" w:rsidR="00886770" w:rsidRPr="009E15A4" w:rsidRDefault="00EE66CB" w:rsidP="0056427E">
            <w:pPr>
              <w:jc w:val="center"/>
              <w:rPr>
                <w:rFonts w:ascii="Arial" w:hAnsi="Arial" w:cs="Arial"/>
                <w:sz w:val="20"/>
                <w:szCs w:val="20"/>
              </w:rPr>
            </w:pPr>
            <w:r>
              <w:rPr>
                <w:rFonts w:ascii="Arial" w:hAnsi="Arial" w:cs="Arial"/>
                <w:sz w:val="20"/>
                <w:szCs w:val="20"/>
              </w:rPr>
              <w:t>Martes 09 de enero</w:t>
            </w:r>
            <w:r w:rsidR="00ED1805" w:rsidRPr="009E15A4">
              <w:rPr>
                <w:rFonts w:ascii="Arial" w:hAnsi="Arial" w:cs="Arial"/>
                <w:sz w:val="20"/>
                <w:szCs w:val="20"/>
              </w:rPr>
              <w:t xml:space="preserve"> de </w:t>
            </w:r>
            <w:r>
              <w:rPr>
                <w:rFonts w:ascii="Arial" w:hAnsi="Arial" w:cs="Arial"/>
                <w:sz w:val="20"/>
                <w:szCs w:val="20"/>
              </w:rPr>
              <w:t>2024</w:t>
            </w:r>
          </w:p>
        </w:tc>
        <w:tc>
          <w:tcPr>
            <w:tcW w:w="2410" w:type="dxa"/>
            <w:vAlign w:val="center"/>
          </w:tcPr>
          <w:p w14:paraId="1A287D93" w14:textId="29A98060" w:rsidR="00886770" w:rsidRPr="009E15A4" w:rsidRDefault="00B03113" w:rsidP="000A578C">
            <w:pPr>
              <w:ind w:left="708"/>
              <w:jc w:val="both"/>
              <w:rPr>
                <w:rFonts w:ascii="Arial" w:hAnsi="Arial" w:cs="Arial"/>
                <w:sz w:val="20"/>
                <w:szCs w:val="20"/>
              </w:rPr>
            </w:pPr>
            <w:r>
              <w:rPr>
                <w:rFonts w:ascii="Arial" w:hAnsi="Arial" w:cs="Arial"/>
                <w:sz w:val="20"/>
                <w:szCs w:val="20"/>
              </w:rPr>
              <w:t>11</w:t>
            </w:r>
            <w:r w:rsidR="000A578C" w:rsidRPr="009E15A4">
              <w:rPr>
                <w:rFonts w:ascii="Arial" w:hAnsi="Arial" w:cs="Arial"/>
                <w:sz w:val="20"/>
                <w:szCs w:val="20"/>
              </w:rPr>
              <w:t>:00 horas.</w:t>
            </w:r>
          </w:p>
        </w:tc>
        <w:tc>
          <w:tcPr>
            <w:tcW w:w="1559" w:type="dxa"/>
            <w:vAlign w:val="center"/>
          </w:tcPr>
          <w:p w14:paraId="1E662ED2" w14:textId="1E33E62C"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25D42CA3" w14:textId="77777777" w:rsidTr="001D3950">
        <w:trPr>
          <w:trHeight w:val="773"/>
        </w:trPr>
        <w:tc>
          <w:tcPr>
            <w:tcW w:w="562" w:type="dxa"/>
            <w:shd w:val="clear" w:color="auto" w:fill="BFBFBF" w:themeFill="background1" w:themeFillShade="BF"/>
            <w:vAlign w:val="center"/>
          </w:tcPr>
          <w:p w14:paraId="2A8B3993" w14:textId="53A24A54" w:rsidR="007B3A4D" w:rsidRPr="009E15A4" w:rsidRDefault="00B03113" w:rsidP="001D3950">
            <w:pPr>
              <w:jc w:val="center"/>
              <w:rPr>
                <w:rFonts w:ascii="Arial" w:hAnsi="Arial" w:cs="Arial"/>
                <w:b/>
                <w:sz w:val="20"/>
                <w:szCs w:val="20"/>
              </w:rPr>
            </w:pPr>
            <w:r>
              <w:rPr>
                <w:rFonts w:ascii="Arial" w:hAnsi="Arial" w:cs="Arial"/>
                <w:b/>
                <w:sz w:val="20"/>
                <w:szCs w:val="20"/>
              </w:rPr>
              <w:t>6</w:t>
            </w:r>
          </w:p>
        </w:tc>
        <w:tc>
          <w:tcPr>
            <w:tcW w:w="2410" w:type="dxa"/>
            <w:vAlign w:val="center"/>
          </w:tcPr>
          <w:p w14:paraId="3A2C7499" w14:textId="77777777" w:rsidR="007B3A4D" w:rsidRPr="009E15A4" w:rsidRDefault="007B3A4D" w:rsidP="00886770">
            <w:pPr>
              <w:rPr>
                <w:rFonts w:ascii="Arial" w:hAnsi="Arial" w:cs="Arial"/>
                <w:sz w:val="20"/>
                <w:szCs w:val="20"/>
              </w:rPr>
            </w:pPr>
            <w:r w:rsidRPr="009E15A4">
              <w:rPr>
                <w:rFonts w:ascii="Arial" w:hAnsi="Arial" w:cs="Arial"/>
                <w:sz w:val="20"/>
                <w:szCs w:val="20"/>
              </w:rPr>
              <w:t>Dictamen de fallo de la co</w:t>
            </w:r>
            <w:bookmarkStart w:id="2" w:name="_GoBack"/>
            <w:bookmarkEnd w:id="2"/>
            <w:r w:rsidRPr="009E15A4">
              <w:rPr>
                <w:rFonts w:ascii="Arial" w:hAnsi="Arial" w:cs="Arial"/>
                <w:sz w:val="20"/>
                <w:szCs w:val="20"/>
              </w:rPr>
              <w:t>nvocatoria.</w:t>
            </w:r>
          </w:p>
        </w:tc>
        <w:tc>
          <w:tcPr>
            <w:tcW w:w="4536" w:type="dxa"/>
            <w:gridSpan w:val="2"/>
            <w:vAlign w:val="center"/>
          </w:tcPr>
          <w:p w14:paraId="528490A5" w14:textId="225E89AD" w:rsidR="007B3A4D" w:rsidRPr="009E15A4" w:rsidRDefault="007B3A4D" w:rsidP="004A5E2B">
            <w:pPr>
              <w:jc w:val="both"/>
              <w:rPr>
                <w:rFonts w:ascii="Arial" w:hAnsi="Arial" w:cs="Arial"/>
                <w:sz w:val="20"/>
                <w:szCs w:val="20"/>
              </w:rPr>
            </w:pPr>
            <w:r w:rsidRPr="009E15A4">
              <w:rPr>
                <w:rFonts w:ascii="Arial" w:hAnsi="Arial" w:cs="Arial"/>
                <w:sz w:val="20"/>
                <w:szCs w:val="20"/>
              </w:rPr>
              <w:t>Dentro de</w:t>
            </w:r>
            <w:r w:rsidR="00ED14C4" w:rsidRPr="009E15A4">
              <w:rPr>
                <w:rFonts w:ascii="Arial" w:hAnsi="Arial" w:cs="Arial"/>
                <w:sz w:val="20"/>
                <w:szCs w:val="20"/>
              </w:rPr>
              <w:t xml:space="preserve"> los </w:t>
            </w:r>
            <w:r w:rsidR="004A5E2B">
              <w:rPr>
                <w:rFonts w:ascii="Arial" w:hAnsi="Arial" w:cs="Arial"/>
                <w:sz w:val="20"/>
                <w:szCs w:val="20"/>
              </w:rPr>
              <w:t>diez</w:t>
            </w:r>
            <w:r w:rsidRPr="009E15A4">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514AA882" w14:textId="77777777" w:rsidTr="001D3950">
        <w:trPr>
          <w:trHeight w:val="546"/>
        </w:trPr>
        <w:tc>
          <w:tcPr>
            <w:tcW w:w="562" w:type="dxa"/>
            <w:shd w:val="clear" w:color="auto" w:fill="BFBFBF" w:themeFill="background1" w:themeFillShade="BF"/>
            <w:vAlign w:val="center"/>
          </w:tcPr>
          <w:p w14:paraId="57C13B69" w14:textId="672305DB" w:rsidR="007B3A4D" w:rsidRPr="009E15A4" w:rsidRDefault="00B03113" w:rsidP="001D3950">
            <w:pPr>
              <w:jc w:val="center"/>
              <w:rPr>
                <w:rFonts w:ascii="Arial" w:hAnsi="Arial" w:cs="Arial"/>
                <w:b/>
                <w:sz w:val="20"/>
                <w:szCs w:val="20"/>
              </w:rPr>
            </w:pPr>
            <w:r>
              <w:rPr>
                <w:rFonts w:ascii="Arial" w:hAnsi="Arial" w:cs="Arial"/>
                <w:b/>
                <w:sz w:val="20"/>
                <w:szCs w:val="20"/>
              </w:rPr>
              <w:t>7</w:t>
            </w:r>
          </w:p>
        </w:tc>
        <w:tc>
          <w:tcPr>
            <w:tcW w:w="2410" w:type="dxa"/>
            <w:vAlign w:val="center"/>
          </w:tcPr>
          <w:p w14:paraId="2B110EF3" w14:textId="77777777" w:rsidR="007B3A4D" w:rsidRPr="009E15A4" w:rsidRDefault="007B3A4D" w:rsidP="00886770">
            <w:pPr>
              <w:rPr>
                <w:rFonts w:ascii="Arial" w:hAnsi="Arial" w:cs="Arial"/>
                <w:sz w:val="20"/>
                <w:szCs w:val="20"/>
              </w:rPr>
            </w:pPr>
            <w:r w:rsidRPr="009E15A4">
              <w:rPr>
                <w:rFonts w:ascii="Arial" w:hAnsi="Arial" w:cs="Arial"/>
                <w:sz w:val="20"/>
                <w:szCs w:val="20"/>
              </w:rPr>
              <w:t xml:space="preserve">Firma de contrato. </w:t>
            </w:r>
          </w:p>
        </w:tc>
        <w:tc>
          <w:tcPr>
            <w:tcW w:w="4536" w:type="dxa"/>
            <w:gridSpan w:val="2"/>
            <w:vAlign w:val="center"/>
          </w:tcPr>
          <w:p w14:paraId="25788631" w14:textId="6CEB54A6" w:rsidR="007B3A4D" w:rsidRPr="009E15A4" w:rsidRDefault="007B3A4D" w:rsidP="00886770">
            <w:pPr>
              <w:jc w:val="both"/>
              <w:rPr>
                <w:rFonts w:ascii="Arial" w:hAnsi="Arial" w:cs="Arial"/>
                <w:sz w:val="20"/>
                <w:szCs w:val="20"/>
              </w:rPr>
            </w:pPr>
            <w:r w:rsidRPr="009E15A4">
              <w:rPr>
                <w:rFonts w:ascii="Arial" w:hAnsi="Arial" w:cs="Arial"/>
                <w:sz w:val="20"/>
                <w:szCs w:val="20"/>
              </w:rPr>
              <w:t>Dentro de los diez días</w:t>
            </w:r>
            <w:r w:rsidR="000A578C" w:rsidRPr="009E15A4">
              <w:rPr>
                <w:rFonts w:ascii="Arial" w:hAnsi="Arial" w:cs="Arial"/>
                <w:sz w:val="20"/>
                <w:szCs w:val="20"/>
              </w:rPr>
              <w:t xml:space="preserve"> naturales</w:t>
            </w:r>
            <w:r w:rsidRPr="009E15A4">
              <w:rPr>
                <w:rFonts w:ascii="Arial" w:hAnsi="Arial" w:cs="Arial"/>
                <w:sz w:val="20"/>
                <w:szCs w:val="20"/>
              </w:rPr>
              <w:t xml:space="preserve"> posteriores a la emisión del dictamen de fallo.</w:t>
            </w:r>
          </w:p>
        </w:tc>
        <w:tc>
          <w:tcPr>
            <w:tcW w:w="1559" w:type="dxa"/>
            <w:vAlign w:val="center"/>
          </w:tcPr>
          <w:p w14:paraId="1BC0DF7E" w14:textId="70E4491F"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0A578C" w:rsidRPr="009E15A4" w14:paraId="25A6C804" w14:textId="77777777" w:rsidTr="001D3950">
        <w:trPr>
          <w:trHeight w:val="697"/>
        </w:trPr>
        <w:tc>
          <w:tcPr>
            <w:tcW w:w="562" w:type="dxa"/>
            <w:shd w:val="clear" w:color="auto" w:fill="BFBFBF" w:themeFill="background1" w:themeFillShade="BF"/>
            <w:vAlign w:val="center"/>
          </w:tcPr>
          <w:p w14:paraId="382F64DC" w14:textId="52BCCAA2" w:rsidR="000A578C" w:rsidRPr="009E15A4" w:rsidRDefault="00B03113" w:rsidP="001D3950">
            <w:pPr>
              <w:jc w:val="center"/>
              <w:rPr>
                <w:rFonts w:ascii="Arial" w:hAnsi="Arial" w:cs="Arial"/>
                <w:b/>
                <w:sz w:val="20"/>
                <w:szCs w:val="20"/>
              </w:rPr>
            </w:pPr>
            <w:r>
              <w:rPr>
                <w:rFonts w:ascii="Arial" w:hAnsi="Arial" w:cs="Arial"/>
                <w:b/>
                <w:sz w:val="20"/>
                <w:szCs w:val="20"/>
              </w:rPr>
              <w:t>8</w:t>
            </w:r>
          </w:p>
        </w:tc>
        <w:tc>
          <w:tcPr>
            <w:tcW w:w="2410" w:type="dxa"/>
            <w:vAlign w:val="center"/>
          </w:tcPr>
          <w:p w14:paraId="0D3D1967" w14:textId="77777777" w:rsidR="000A578C" w:rsidRPr="009E15A4" w:rsidRDefault="000A578C" w:rsidP="00886770">
            <w:pPr>
              <w:rPr>
                <w:rFonts w:ascii="Arial" w:hAnsi="Arial" w:cs="Arial"/>
                <w:sz w:val="20"/>
                <w:szCs w:val="20"/>
              </w:rPr>
            </w:pPr>
            <w:r w:rsidRPr="009E15A4">
              <w:rPr>
                <w:rFonts w:ascii="Arial" w:hAnsi="Arial" w:cs="Arial"/>
                <w:sz w:val="20"/>
                <w:szCs w:val="20"/>
              </w:rPr>
              <w:t>Entrega de bienes y/o servicios.</w:t>
            </w:r>
          </w:p>
        </w:tc>
        <w:tc>
          <w:tcPr>
            <w:tcW w:w="4536" w:type="dxa"/>
            <w:gridSpan w:val="2"/>
            <w:vAlign w:val="center"/>
          </w:tcPr>
          <w:p w14:paraId="47D2EA05" w14:textId="04931269" w:rsidR="000A578C"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9E15A4" w:rsidRDefault="000A578C"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12D3DAE5" w14:textId="77777777" w:rsidTr="001D3950">
        <w:trPr>
          <w:trHeight w:val="611"/>
        </w:trPr>
        <w:tc>
          <w:tcPr>
            <w:tcW w:w="562" w:type="dxa"/>
            <w:shd w:val="clear" w:color="auto" w:fill="BFBFBF" w:themeFill="background1" w:themeFillShade="BF"/>
            <w:vAlign w:val="center"/>
          </w:tcPr>
          <w:p w14:paraId="0A53FEF9" w14:textId="3FBFE3D3" w:rsidR="007B3A4D" w:rsidRPr="009E15A4" w:rsidRDefault="00B03113" w:rsidP="001D3950">
            <w:pPr>
              <w:jc w:val="center"/>
              <w:rPr>
                <w:rFonts w:ascii="Arial" w:hAnsi="Arial" w:cs="Arial"/>
                <w:b/>
                <w:sz w:val="20"/>
                <w:szCs w:val="20"/>
              </w:rPr>
            </w:pPr>
            <w:r>
              <w:rPr>
                <w:rFonts w:ascii="Arial" w:hAnsi="Arial" w:cs="Arial"/>
                <w:b/>
                <w:sz w:val="20"/>
                <w:szCs w:val="20"/>
              </w:rPr>
              <w:t>9</w:t>
            </w:r>
          </w:p>
        </w:tc>
        <w:tc>
          <w:tcPr>
            <w:tcW w:w="2410" w:type="dxa"/>
            <w:vAlign w:val="center"/>
          </w:tcPr>
          <w:p w14:paraId="53695A4E" w14:textId="34C88ECC" w:rsidR="007B3A4D" w:rsidRPr="009E15A4" w:rsidRDefault="007B3A4D" w:rsidP="00886770">
            <w:pPr>
              <w:rPr>
                <w:rFonts w:ascii="Arial" w:hAnsi="Arial" w:cs="Arial"/>
                <w:sz w:val="20"/>
                <w:szCs w:val="20"/>
              </w:rPr>
            </w:pPr>
            <w:r w:rsidRPr="009E15A4">
              <w:rPr>
                <w:rFonts w:ascii="Arial" w:hAnsi="Arial" w:cs="Arial"/>
                <w:sz w:val="20"/>
                <w:szCs w:val="20"/>
              </w:rPr>
              <w:t>Pago</w:t>
            </w:r>
          </w:p>
        </w:tc>
        <w:tc>
          <w:tcPr>
            <w:tcW w:w="4536" w:type="dxa"/>
            <w:gridSpan w:val="2"/>
            <w:vAlign w:val="center"/>
          </w:tcPr>
          <w:p w14:paraId="027F6DAD" w14:textId="76525607" w:rsidR="007B3A4D"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68B49BB5" w14:textId="64ED037E" w:rsidR="001D3950" w:rsidRPr="00721713" w:rsidRDefault="00E87FCF" w:rsidP="007B3A4D">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734ABFA3" w14:textId="77777777" w:rsidR="008F7045" w:rsidRDefault="008F7045" w:rsidP="00E87FCF">
      <w:pPr>
        <w:widowControl w:val="0"/>
        <w:autoSpaceDE w:val="0"/>
        <w:autoSpaceDN w:val="0"/>
        <w:adjustRightInd w:val="0"/>
        <w:spacing w:line="257" w:lineRule="auto"/>
        <w:ind w:left="100" w:right="62"/>
        <w:jc w:val="center"/>
        <w:rPr>
          <w:rFonts w:ascii="Arial" w:hAnsi="Arial" w:cs="Arial"/>
          <w:b/>
          <w:color w:val="000000"/>
          <w:sz w:val="24"/>
          <w:szCs w:val="24"/>
        </w:rPr>
      </w:pPr>
    </w:p>
    <w:p w14:paraId="1A98F24E" w14:textId="77777777" w:rsidR="008F7045" w:rsidRDefault="008F7045" w:rsidP="00E87FCF">
      <w:pPr>
        <w:widowControl w:val="0"/>
        <w:autoSpaceDE w:val="0"/>
        <w:autoSpaceDN w:val="0"/>
        <w:adjustRightInd w:val="0"/>
        <w:spacing w:line="257" w:lineRule="auto"/>
        <w:ind w:left="100" w:right="62"/>
        <w:jc w:val="center"/>
        <w:rPr>
          <w:rFonts w:ascii="Arial" w:hAnsi="Arial" w:cs="Arial"/>
          <w:b/>
          <w:color w:val="000000"/>
          <w:sz w:val="24"/>
          <w:szCs w:val="24"/>
        </w:rPr>
      </w:pPr>
    </w:p>
    <w:p w14:paraId="5F72E4C9" w14:textId="4389DABA"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lastRenderedPageBreak/>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FE527A">
        <w:tc>
          <w:tcPr>
            <w:tcW w:w="3581" w:type="dxa"/>
            <w:shd w:val="clear" w:color="auto" w:fill="BFBFBF" w:themeFill="background1" w:themeFillShade="BF"/>
            <w:vAlign w:val="center"/>
          </w:tcPr>
          <w:p w14:paraId="7FDD38C0" w14:textId="3CBDE38C"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Descripción</w:t>
            </w:r>
          </w:p>
        </w:tc>
        <w:tc>
          <w:tcPr>
            <w:tcW w:w="5147" w:type="dxa"/>
          </w:tcPr>
          <w:p w14:paraId="64D7285E" w14:textId="403FA189" w:rsidR="00F9166E" w:rsidRPr="00F9166E" w:rsidRDefault="00867A7C" w:rsidP="00867A7C">
            <w:pPr>
              <w:pStyle w:val="Sinespaciado"/>
              <w:numPr>
                <w:ilvl w:val="0"/>
                <w:numId w:val="47"/>
              </w:numPr>
              <w:jc w:val="both"/>
              <w:rPr>
                <w:rFonts w:ascii="Arial" w:hAnsi="Arial" w:cs="Arial"/>
                <w:b/>
                <w:color w:val="000000"/>
                <w:sz w:val="20"/>
                <w:szCs w:val="20"/>
              </w:rPr>
            </w:pPr>
            <w:r w:rsidRPr="00867A7C">
              <w:rPr>
                <w:rFonts w:ascii="Arial" w:hAnsi="Arial" w:cs="Arial"/>
                <w:sz w:val="20"/>
                <w:szCs w:val="20"/>
              </w:rPr>
              <w:t>Póliza de seguro para los 72 vehículos que integran la flotilla del parque vehicular de la Auditoría Superior del Estado de Jalisco.</w:t>
            </w:r>
          </w:p>
        </w:tc>
      </w:tr>
      <w:tr w:rsidR="00F9166E" w:rsidRPr="00F9166E" w14:paraId="396E7F99" w14:textId="77777777" w:rsidTr="00FE527A">
        <w:tc>
          <w:tcPr>
            <w:tcW w:w="3581" w:type="dxa"/>
            <w:shd w:val="clear" w:color="auto" w:fill="BFBFBF" w:themeFill="background1" w:themeFillShade="BF"/>
            <w:vAlign w:val="center"/>
          </w:tcPr>
          <w:p w14:paraId="512573FF" w14:textId="5BCF445B"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tcPr>
          <w:p w14:paraId="0DCB3A43" w14:textId="77777777" w:rsidR="002A38F1" w:rsidRPr="002A38F1" w:rsidRDefault="002A38F1" w:rsidP="002A38F1">
            <w:pPr>
              <w:pStyle w:val="Sinespaciado"/>
              <w:numPr>
                <w:ilvl w:val="0"/>
                <w:numId w:val="47"/>
              </w:numPr>
              <w:jc w:val="both"/>
              <w:rPr>
                <w:rFonts w:ascii="Arial" w:eastAsia="Arial" w:hAnsi="Arial" w:cs="Arial"/>
                <w:color w:val="000000"/>
                <w:sz w:val="20"/>
                <w:szCs w:val="20"/>
                <w:lang w:val="es-ES" w:eastAsia="es-ES"/>
              </w:rPr>
            </w:pPr>
            <w:r w:rsidRPr="002A38F1">
              <w:rPr>
                <w:rFonts w:ascii="Arial" w:eastAsia="Arial" w:hAnsi="Arial" w:cs="Arial"/>
                <w:color w:val="000000"/>
                <w:sz w:val="20"/>
                <w:szCs w:val="20"/>
                <w:lang w:val="es-ES" w:eastAsia="es-ES"/>
              </w:rPr>
              <w:t>Periodo de 12 meses. Iniciando a las 12 horas del mediodía local del 31 de enero del 2024, concluyendo a las 12 horas del mediodía local del 31 de enero de 2025.</w:t>
            </w:r>
          </w:p>
          <w:p w14:paraId="4886DC41" w14:textId="77777777" w:rsidR="002A38F1" w:rsidRPr="002A38F1" w:rsidRDefault="002A38F1" w:rsidP="008F7045">
            <w:pPr>
              <w:pStyle w:val="Sinespaciado"/>
              <w:ind w:left="360"/>
              <w:jc w:val="both"/>
              <w:rPr>
                <w:rFonts w:ascii="Arial" w:eastAsia="Arial" w:hAnsi="Arial" w:cs="Arial"/>
                <w:color w:val="000000"/>
                <w:sz w:val="20"/>
                <w:szCs w:val="20"/>
                <w:lang w:val="es-ES" w:eastAsia="es-ES"/>
              </w:rPr>
            </w:pPr>
          </w:p>
          <w:p w14:paraId="78BC8120" w14:textId="77777777" w:rsidR="002A38F1" w:rsidRPr="002A38F1" w:rsidRDefault="002A38F1" w:rsidP="002A38F1">
            <w:pPr>
              <w:pStyle w:val="Sinespaciado"/>
              <w:numPr>
                <w:ilvl w:val="0"/>
                <w:numId w:val="47"/>
              </w:numPr>
              <w:jc w:val="both"/>
              <w:rPr>
                <w:rFonts w:ascii="Arial" w:eastAsia="Arial" w:hAnsi="Arial" w:cs="Arial"/>
                <w:color w:val="000000"/>
                <w:sz w:val="20"/>
                <w:szCs w:val="20"/>
                <w:lang w:val="es-ES" w:eastAsia="es-ES"/>
              </w:rPr>
            </w:pPr>
            <w:r w:rsidRPr="002A38F1">
              <w:rPr>
                <w:rFonts w:ascii="Arial" w:eastAsia="Arial" w:hAnsi="Arial" w:cs="Arial"/>
                <w:color w:val="000000"/>
                <w:sz w:val="20"/>
                <w:szCs w:val="20"/>
                <w:lang w:val="es-ES" w:eastAsia="es-ES"/>
              </w:rPr>
              <w:t>Deducible Auto administrado, (los deducibles se pagarán únicamente a la aseguradora).</w:t>
            </w:r>
          </w:p>
          <w:p w14:paraId="32BBFFEA" w14:textId="77777777" w:rsidR="00FE527A" w:rsidRPr="00F9166E" w:rsidRDefault="00FE527A" w:rsidP="00FE527A">
            <w:pPr>
              <w:pStyle w:val="Sinespaciado"/>
              <w:ind w:left="720"/>
              <w:jc w:val="both"/>
              <w:rPr>
                <w:rFonts w:ascii="Arial" w:eastAsia="Arial" w:hAnsi="Arial" w:cs="Arial"/>
                <w:color w:val="000000"/>
                <w:sz w:val="20"/>
                <w:szCs w:val="20"/>
                <w:lang w:val="es-ES" w:eastAsia="es-ES"/>
              </w:rPr>
            </w:pPr>
          </w:p>
          <w:p w14:paraId="24DFD155" w14:textId="435A9747" w:rsidR="00F9166E" w:rsidRPr="00F9166E" w:rsidRDefault="00C728CB" w:rsidP="00E87FCF">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ANEXO ESPE</w:t>
            </w:r>
            <w:r w:rsidR="00530EFE">
              <w:rPr>
                <w:rFonts w:ascii="Arial" w:hAnsi="Arial" w:cs="Arial"/>
                <w:b/>
                <w:color w:val="000000"/>
                <w:sz w:val="20"/>
                <w:szCs w:val="20"/>
              </w:rPr>
              <w:t>CIFICACIONES TÉCNICAS</w:t>
            </w:r>
          </w:p>
        </w:tc>
      </w:tr>
      <w:tr w:rsidR="00F9166E" w:rsidRPr="00F9166E" w14:paraId="77BEA926" w14:textId="77777777" w:rsidTr="001D3950">
        <w:tc>
          <w:tcPr>
            <w:tcW w:w="3581" w:type="dxa"/>
            <w:shd w:val="clear" w:color="auto" w:fill="BFBFBF" w:themeFill="background1" w:themeFillShade="BF"/>
          </w:tcPr>
          <w:p w14:paraId="628BBF46" w14:textId="5FD6E9ED" w:rsidR="00F9166E" w:rsidRPr="00F9166E" w:rsidRDefault="00F9166E" w:rsidP="007222C4">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I</w:t>
            </w:r>
            <w:r w:rsidR="001D3950">
              <w:rPr>
                <w:rFonts w:ascii="Arial" w:hAnsi="Arial" w:cs="Arial"/>
                <w:b/>
                <w:color w:val="000000"/>
                <w:sz w:val="20"/>
                <w:szCs w:val="20"/>
              </w:rPr>
              <w:t>nicio de</w:t>
            </w:r>
            <w:r w:rsidR="007222C4">
              <w:rPr>
                <w:rFonts w:ascii="Arial" w:hAnsi="Arial" w:cs="Arial"/>
                <w:b/>
                <w:color w:val="000000"/>
                <w:sz w:val="20"/>
                <w:szCs w:val="20"/>
              </w:rPr>
              <w:t>l bien y/o servicio</w:t>
            </w:r>
          </w:p>
        </w:tc>
        <w:tc>
          <w:tcPr>
            <w:tcW w:w="5147" w:type="dxa"/>
          </w:tcPr>
          <w:p w14:paraId="2635C476" w14:textId="3D311FBA" w:rsidR="007222C4" w:rsidRPr="007222C4" w:rsidRDefault="008F7045" w:rsidP="002A38F1">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 xml:space="preserve">A más tardar el </w:t>
            </w:r>
            <w:r w:rsidR="002A38F1" w:rsidRPr="002A38F1">
              <w:rPr>
                <w:rFonts w:ascii="Arial" w:hAnsi="Arial" w:cs="Arial"/>
                <w:color w:val="000000"/>
                <w:sz w:val="20"/>
                <w:szCs w:val="20"/>
              </w:rPr>
              <w:t>31 de enero del 2024</w:t>
            </w:r>
            <w:r w:rsidR="00FE527A">
              <w:rPr>
                <w:rFonts w:ascii="Arial" w:hAnsi="Arial" w:cs="Arial"/>
                <w:color w:val="000000"/>
                <w:sz w:val="20"/>
                <w:szCs w:val="20"/>
              </w:rPr>
              <w:t>.</w:t>
            </w:r>
            <w:r w:rsidR="00530EFE">
              <w:rPr>
                <w:rFonts w:ascii="Arial" w:hAnsi="Arial" w:cs="Arial"/>
                <w:color w:val="000000"/>
                <w:sz w:val="20"/>
                <w:szCs w:val="20"/>
              </w:rPr>
              <w:t xml:space="preserve"> </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Lugar de entrega</w:t>
            </w:r>
          </w:p>
        </w:tc>
        <w:tc>
          <w:tcPr>
            <w:tcW w:w="5147" w:type="dxa"/>
          </w:tcPr>
          <w:p w14:paraId="1768B59E" w14:textId="5BA92FB6" w:rsidR="007222C4" w:rsidRDefault="007222C4" w:rsidP="007222C4">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sidRPr="007222C4">
              <w:rPr>
                <w:rFonts w:ascii="Arial" w:eastAsia="Arial" w:hAnsi="Arial" w:cs="Arial"/>
                <w:color w:val="000000"/>
                <w:sz w:val="20"/>
              </w:rPr>
              <w:t>En las instalaciones de la Auditoría Superior del Estado de Jalisco.</w:t>
            </w:r>
          </w:p>
        </w:tc>
      </w:tr>
      <w:tr w:rsidR="00F9166E" w:rsidRPr="00F9166E" w14:paraId="0B69190C" w14:textId="77777777" w:rsidTr="00FE527A">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vAlign w:val="center"/>
          </w:tcPr>
          <w:p w14:paraId="63BAAC19" w14:textId="5250E864" w:rsidR="005E68CB" w:rsidRPr="00530EFE" w:rsidRDefault="00FE527A" w:rsidP="005E68CB">
            <w:pPr>
              <w:pStyle w:val="Sinespaciad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Pr="00530EFE">
              <w:rPr>
                <w:rFonts w:ascii="Arial" w:eastAsia="Times New Roman" w:hAnsi="Arial" w:cs="Arial"/>
                <w:color w:val="000000"/>
                <w:sz w:val="20"/>
                <w:szCs w:val="20"/>
                <w:lang w:eastAsia="es-MX"/>
              </w:rPr>
              <w:t xml:space="preserve">djudicada a un solo licitante </w:t>
            </w:r>
            <w:r>
              <w:rPr>
                <w:rFonts w:ascii="Arial" w:eastAsia="Times New Roman" w:hAnsi="Arial" w:cs="Arial"/>
                <w:color w:val="000000"/>
                <w:sz w:val="20"/>
                <w:szCs w:val="20"/>
                <w:lang w:eastAsia="es-MX"/>
              </w:rPr>
              <w:t>.</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lastRenderedPageBreak/>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w:t>
      </w:r>
      <w:proofErr w:type="spellStart"/>
      <w:r w:rsidRPr="00B84813">
        <w:rPr>
          <w:rFonts w:ascii="Arial" w:hAnsi="Arial" w:cs="Arial"/>
          <w:color w:val="000000"/>
          <w:spacing w:val="-1"/>
        </w:rPr>
        <w:t>desechamiento</w:t>
      </w:r>
      <w:proofErr w:type="spellEnd"/>
      <w:r w:rsidRPr="00B84813">
        <w:rPr>
          <w:rFonts w:ascii="Arial" w:hAnsi="Arial" w:cs="Arial"/>
          <w:color w:val="000000"/>
          <w:spacing w:val="-1"/>
        </w:rPr>
        <w:t xml:space="preserve">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w:t>
      </w:r>
      <w:r w:rsidR="00674896" w:rsidRPr="00B84813">
        <w:rPr>
          <w:rFonts w:ascii="Arial" w:hAnsi="Arial" w:cs="Arial"/>
          <w:color w:val="000000"/>
          <w:spacing w:val="-1"/>
        </w:rPr>
        <w:lastRenderedPageBreak/>
        <w:t xml:space="preserve">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por lo que los licitantes están obligados a considerarlas para la </w:t>
      </w:r>
      <w:r w:rsidRPr="00721713">
        <w:rPr>
          <w:rFonts w:ascii="Arial" w:hAnsi="Arial" w:cs="Arial"/>
          <w:color w:val="000000"/>
          <w:spacing w:val="-1"/>
          <w:sz w:val="24"/>
          <w:szCs w:val="24"/>
        </w:rPr>
        <w:lastRenderedPageBreak/>
        <w:t>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 xml:space="preserve">2. </w:t>
      </w:r>
      <w:r w:rsidR="00091F9B" w:rsidRPr="00B84813">
        <w:rPr>
          <w:rFonts w:ascii="Arial" w:hAnsi="Arial" w:cs="Arial"/>
          <w:b/>
          <w:color w:val="000000"/>
          <w:sz w:val="24"/>
          <w:szCs w:val="24"/>
        </w:rPr>
        <w:lastRenderedPageBreak/>
        <w:t>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lastRenderedPageBreak/>
        <w:t xml:space="preserve">Las inconsistencias en este apartado, serán motivo de </w:t>
      </w:r>
      <w:proofErr w:type="spellStart"/>
      <w:r w:rsidRPr="00721713">
        <w:rPr>
          <w:rFonts w:ascii="Arial" w:hAnsi="Arial" w:cs="Arial"/>
          <w:b/>
          <w:sz w:val="24"/>
          <w:szCs w:val="24"/>
        </w:rPr>
        <w:t>desechamiento</w:t>
      </w:r>
      <w:proofErr w:type="spellEnd"/>
      <w:r w:rsidRPr="00721713">
        <w:rPr>
          <w:rFonts w:ascii="Arial" w:hAnsi="Arial" w:cs="Arial"/>
          <w:b/>
          <w:sz w:val="24"/>
          <w:szCs w:val="24"/>
        </w:rPr>
        <w:t xml:space="preserve">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w:t>
            </w:r>
            <w:r w:rsidRPr="00B84813">
              <w:rPr>
                <w:rFonts w:ascii="Arial" w:hAnsi="Arial" w:cs="Arial"/>
                <w:color w:val="000000"/>
                <w:sz w:val="20"/>
                <w:szCs w:val="20"/>
                <w:lang w:eastAsia="es-MX"/>
              </w:rPr>
              <w:lastRenderedPageBreak/>
              <w:t>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D25F1E">
            <w:pPr>
              <w:rPr>
                <w:rFonts w:ascii="Arial" w:hAnsi="Arial" w:cs="Arial"/>
                <w:color w:val="000000"/>
                <w:sz w:val="20"/>
                <w:szCs w:val="20"/>
                <w:lang w:eastAsia="es-MX"/>
              </w:rPr>
            </w:pPr>
            <w:r>
              <w:rPr>
                <w:rFonts w:ascii="Arial" w:hAnsi="Arial" w:cs="Arial"/>
                <w:color w:val="000000"/>
                <w:sz w:val="20"/>
                <w:szCs w:val="20"/>
                <w:lang w:eastAsia="es-MX"/>
              </w:rPr>
              <w:t>Pago</w:t>
            </w:r>
            <w:r w:rsidR="00E87FCF" w:rsidRPr="00B84813">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8A616A">
            <w:pPr>
              <w:jc w:val="both"/>
              <w:rPr>
                <w:rFonts w:ascii="Arial" w:hAnsi="Arial" w:cs="Arial"/>
                <w:color w:val="000000"/>
                <w:sz w:val="20"/>
                <w:szCs w:val="20"/>
                <w:lang w:eastAsia="es-MX"/>
              </w:rPr>
            </w:pPr>
            <w:r>
              <w:rPr>
                <w:rFonts w:ascii="Arial" w:hAnsi="Arial" w:cs="Arial"/>
                <w:color w:val="000000"/>
                <w:sz w:val="20"/>
                <w:szCs w:val="20"/>
                <w:lang w:eastAsia="es-MX"/>
              </w:rPr>
              <w:t>Recibo oficial  del pago sobre nómina en la Entidad Federativa</w:t>
            </w:r>
            <w:r w:rsidR="00E87FCF" w:rsidRPr="00B84813">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13E7B85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17</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668C56E3"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18</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AB5F9A">
      <w:pPr>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lastRenderedPageBreak/>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DD5A52">
      <w:pPr>
        <w:pStyle w:val="Prrafodelista"/>
        <w:widowControl w:val="0"/>
        <w:numPr>
          <w:ilvl w:val="0"/>
          <w:numId w:val="21"/>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DD5A52">
      <w:pPr>
        <w:pStyle w:val="Prrafodelista"/>
        <w:widowControl w:val="0"/>
        <w:numPr>
          <w:ilvl w:val="0"/>
          <w:numId w:val="21"/>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DD5A52">
      <w:pPr>
        <w:pStyle w:val="Prrafodelista"/>
        <w:widowControl w:val="0"/>
        <w:numPr>
          <w:ilvl w:val="0"/>
          <w:numId w:val="21"/>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Default="00E87FCF" w:rsidP="00C5034E">
      <w:pPr>
        <w:pStyle w:val="Prrafodelista"/>
        <w:widowControl w:val="0"/>
        <w:numPr>
          <w:ilvl w:val="0"/>
          <w:numId w:val="21"/>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0C9BF5E8" w14:textId="77777777" w:rsidR="00C5034E" w:rsidRPr="00C5034E" w:rsidRDefault="00C5034E" w:rsidP="00C5034E">
      <w:pPr>
        <w:widowControl w:val="0"/>
        <w:autoSpaceDE w:val="0"/>
        <w:autoSpaceDN w:val="0"/>
        <w:adjustRightInd w:val="0"/>
        <w:spacing w:line="276" w:lineRule="auto"/>
        <w:ind w:left="360" w:right="55"/>
        <w:jc w:val="both"/>
        <w:rPr>
          <w:rFonts w:ascii="Arial" w:hAnsi="Arial" w:cs="Arial"/>
          <w:color w:val="000000"/>
          <w:spacing w:val="-3"/>
        </w:rPr>
      </w:pPr>
    </w:p>
    <w:p w14:paraId="46B1C0D4" w14:textId="2CC9E0D7" w:rsidR="00E43BC1" w:rsidRPr="00E43BC1" w:rsidRDefault="00E43BC1" w:rsidP="00E43BC1">
      <w:pPr>
        <w:pStyle w:val="Prrafodelista"/>
        <w:widowControl w:val="0"/>
        <w:numPr>
          <w:ilvl w:val="0"/>
          <w:numId w:val="19"/>
        </w:numPr>
        <w:autoSpaceDE w:val="0"/>
        <w:autoSpaceDN w:val="0"/>
        <w:adjustRightInd w:val="0"/>
        <w:spacing w:line="276" w:lineRule="auto"/>
        <w:ind w:left="426" w:right="58" w:hanging="426"/>
        <w:jc w:val="both"/>
        <w:rPr>
          <w:rFonts w:ascii="Arial" w:hAnsi="Arial" w:cs="Arial"/>
          <w:color w:val="000000"/>
          <w:spacing w:val="-3"/>
        </w:rPr>
      </w:pPr>
      <w:r w:rsidRPr="00F44750">
        <w:rPr>
          <w:rFonts w:ascii="Arial" w:hAnsi="Arial" w:cs="Arial"/>
          <w:color w:val="000000"/>
          <w:spacing w:val="-3"/>
        </w:rPr>
        <w:t>Garantías para los servicios: El mínimo requerido por la convocante es de 1 año en mano de obra y materiales, pero se deberán especificar de acuerdo al tipo de servicios en el</w:t>
      </w:r>
      <w:r w:rsidRPr="00F44750">
        <w:rPr>
          <w:rFonts w:ascii="Arial" w:hAnsi="Arial" w:cs="Arial"/>
          <w:b/>
          <w:color w:val="000000"/>
          <w:spacing w:val="-3"/>
        </w:rPr>
        <w:t xml:space="preserve"> ANEX</w:t>
      </w:r>
      <w:r>
        <w:rPr>
          <w:rFonts w:ascii="Arial" w:hAnsi="Arial" w:cs="Arial"/>
          <w:b/>
          <w:color w:val="000000"/>
          <w:spacing w:val="-3"/>
        </w:rPr>
        <w:t>O 1 “ESPECIFICACIONES TÉCNICAS”.</w:t>
      </w:r>
    </w:p>
    <w:p w14:paraId="57C36B20"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E43BC1" w:rsidRDefault="00E43BC1" w:rsidP="00E43BC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Pr>
          <w:rFonts w:ascii="Arial" w:hAnsi="Arial" w:cs="Arial"/>
          <w:color w:val="000000"/>
          <w:spacing w:val="-3"/>
        </w:rPr>
        <w:t xml:space="preserve">Es </w:t>
      </w:r>
      <w:r w:rsidRPr="00B84813">
        <w:rPr>
          <w:rFonts w:ascii="Arial" w:hAnsi="Arial" w:cs="Arial"/>
          <w:color w:val="000000"/>
          <w:spacing w:val="-3"/>
        </w:rPr>
        <w:t xml:space="preserve">indispensable presentar las propuestas de acuerdo al </w:t>
      </w:r>
      <w:r w:rsidRPr="00B84813">
        <w:rPr>
          <w:rFonts w:ascii="Arial" w:hAnsi="Arial" w:cs="Arial"/>
          <w:b/>
          <w:color w:val="000000"/>
          <w:spacing w:val="-3"/>
        </w:rPr>
        <w:t>ANEXO 1</w:t>
      </w:r>
      <w:r w:rsidRPr="00721713">
        <w:rPr>
          <w:rFonts w:ascii="Arial" w:hAnsi="Arial" w:cs="Arial"/>
          <w:color w:val="000000"/>
          <w:spacing w:val="-3"/>
        </w:rPr>
        <w:t xml:space="preserve"> </w:t>
      </w:r>
      <w:r>
        <w:rPr>
          <w:rFonts w:ascii="Arial" w:hAnsi="Arial" w:cs="Arial"/>
          <w:b/>
          <w:color w:val="000000"/>
          <w:spacing w:val="-3"/>
        </w:rPr>
        <w:t>“</w:t>
      </w:r>
      <w:r w:rsidRPr="00721713">
        <w:rPr>
          <w:rFonts w:ascii="Arial" w:hAnsi="Arial" w:cs="Arial"/>
          <w:b/>
          <w:color w:val="000000"/>
          <w:spacing w:val="-3"/>
        </w:rPr>
        <w:t>ESPECIFICACIONES TÉCNICAS</w:t>
      </w:r>
      <w:r>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Pr>
          <w:rFonts w:ascii="Arial" w:hAnsi="Arial" w:cs="Arial"/>
          <w:color w:val="000000"/>
          <w:spacing w:val="-3"/>
        </w:rPr>
        <w:t>d</w:t>
      </w:r>
      <w:r w:rsidRPr="00721713">
        <w:rPr>
          <w:rFonts w:ascii="Arial" w:hAnsi="Arial" w:cs="Arial"/>
          <w:color w:val="000000"/>
          <w:spacing w:val="-3"/>
        </w:rPr>
        <w:t>el Estado de Jalisco.</w:t>
      </w:r>
    </w:p>
    <w:p w14:paraId="25B8DE5A"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B84813"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 xml:space="preserve">Dicho documento se deberá presentar en sentido positivo con vigencia no mayor a 30 días naturales a la fecha establecida para la Presentación y Apertura de </w:t>
      </w:r>
      <w:r w:rsidRPr="00B84813">
        <w:rPr>
          <w:rFonts w:ascii="Arial" w:hAnsi="Arial" w:cs="Arial"/>
          <w:color w:val="000000"/>
          <w:spacing w:val="-3"/>
          <w:sz w:val="24"/>
          <w:szCs w:val="24"/>
        </w:rPr>
        <w:lastRenderedPageBreak/>
        <w:t>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 xml:space="preserve">Las inconsistencias en este punto, serán motivo de </w:t>
      </w:r>
      <w:proofErr w:type="spellStart"/>
      <w:r w:rsidRPr="00B84813">
        <w:rPr>
          <w:rFonts w:ascii="Arial" w:hAnsi="Arial" w:cs="Arial"/>
          <w:b/>
          <w:color w:val="000000"/>
          <w:spacing w:val="-3"/>
          <w:sz w:val="24"/>
          <w:szCs w:val="24"/>
        </w:rPr>
        <w:t>desechamiento</w:t>
      </w:r>
      <w:proofErr w:type="spellEnd"/>
      <w:r w:rsidRPr="00B84813">
        <w:rPr>
          <w:rFonts w:ascii="Arial" w:hAnsi="Arial" w:cs="Arial"/>
          <w:b/>
          <w:color w:val="000000"/>
          <w:spacing w:val="-3"/>
          <w:sz w:val="24"/>
          <w:szCs w:val="24"/>
        </w:rPr>
        <w:t xml:space="preserve">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445162">
      <w:pPr>
        <w:pStyle w:val="Prrafodelista"/>
        <w:numPr>
          <w:ilvl w:val="0"/>
          <w:numId w:val="22"/>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w:t>
      </w:r>
      <w:r w:rsidRPr="00B84813">
        <w:rPr>
          <w:rFonts w:ascii="Arial" w:hAnsi="Arial" w:cs="Arial"/>
          <w:color w:val="000000"/>
          <w:spacing w:val="-3"/>
          <w:sz w:val="24"/>
          <w:szCs w:val="24"/>
        </w:rPr>
        <w:lastRenderedPageBreak/>
        <w:t>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w:t>
      </w:r>
      <w:proofErr w:type="spellStart"/>
      <w:r w:rsidRPr="00721713">
        <w:rPr>
          <w:rFonts w:ascii="Arial" w:hAnsi="Arial" w:cs="Arial"/>
          <w:b/>
          <w:color w:val="000000"/>
          <w:spacing w:val="-1"/>
          <w:sz w:val="24"/>
          <w:szCs w:val="24"/>
        </w:rPr>
        <w:t>desechamiento</w:t>
      </w:r>
      <w:proofErr w:type="spellEnd"/>
      <w:r w:rsidRPr="00721713">
        <w:rPr>
          <w:rFonts w:ascii="Arial" w:hAnsi="Arial" w:cs="Arial"/>
          <w:b/>
          <w:color w:val="000000"/>
          <w:spacing w:val="-1"/>
          <w:sz w:val="24"/>
          <w:szCs w:val="24"/>
        </w:rPr>
        <w:t xml:space="preserve">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proofErr w:type="spellStart"/>
      <w:r w:rsidRPr="00721713">
        <w:rPr>
          <w:rFonts w:ascii="Arial" w:hAnsi="Arial" w:cs="Arial"/>
          <w:b/>
          <w:color w:val="000000"/>
          <w:sz w:val="24"/>
          <w:szCs w:val="24"/>
        </w:rPr>
        <w:t>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proofErr w:type="spellEnd"/>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t>8.7 Estratificación:</w:t>
      </w:r>
      <w:bookmarkEnd w:id="16"/>
    </w:p>
    <w:p w14:paraId="587A455A" w14:textId="17EA8E9B" w:rsidR="006975BC" w:rsidRPr="00721713"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lastRenderedPageBreak/>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xml:space="preserve">, sin tachaduras, ni enmendaduras, </w:t>
      </w:r>
      <w:r w:rsidRPr="00721713">
        <w:rPr>
          <w:rFonts w:ascii="Arial" w:eastAsia="Times New Roman" w:hAnsi="Arial" w:cs="Arial"/>
          <w:color w:val="000000"/>
          <w:sz w:val="24"/>
          <w:szCs w:val="24"/>
          <w:lang w:val="es-ES" w:eastAsia="es-ES"/>
        </w:rPr>
        <w:lastRenderedPageBreak/>
        <w:t>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lastRenderedPageBreak/>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 xml:space="preserve">Las inconsistencias en este punto, serán motivo de </w:t>
      </w:r>
      <w:proofErr w:type="spellStart"/>
      <w:r w:rsidRPr="00A177DB">
        <w:rPr>
          <w:rFonts w:ascii="Arial" w:eastAsia="Times New Roman" w:hAnsi="Arial" w:cs="Arial"/>
          <w:b/>
          <w:color w:val="000000"/>
          <w:spacing w:val="-1"/>
          <w:sz w:val="24"/>
          <w:szCs w:val="24"/>
          <w:lang w:val="es-ES" w:eastAsia="es-ES"/>
        </w:rPr>
        <w:t>desechamiento</w:t>
      </w:r>
      <w:proofErr w:type="spellEnd"/>
      <w:r w:rsidRPr="00A177DB">
        <w:rPr>
          <w:rFonts w:ascii="Arial" w:eastAsia="Times New Roman" w:hAnsi="Arial" w:cs="Arial"/>
          <w:b/>
          <w:color w:val="000000"/>
          <w:spacing w:val="-1"/>
          <w:sz w:val="24"/>
          <w:szCs w:val="24"/>
          <w:lang w:val="es-ES" w:eastAsia="es-ES"/>
        </w:rPr>
        <w:t xml:space="preserve">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 xml:space="preserve">e </w:t>
      </w:r>
      <w:proofErr w:type="spellStart"/>
      <w:r w:rsidR="00397416">
        <w:rPr>
          <w:rFonts w:ascii="Arial" w:eastAsia="Times New Roman" w:hAnsi="Arial" w:cs="Arial"/>
          <w:b/>
          <w:color w:val="000000"/>
          <w:sz w:val="24"/>
          <w:szCs w:val="24"/>
          <w:lang w:val="es-ES" w:eastAsia="es-ES"/>
        </w:rPr>
        <w:t>desechamiento</w:t>
      </w:r>
      <w:proofErr w:type="spellEnd"/>
      <w:r w:rsidR="00397416">
        <w:rPr>
          <w:rFonts w:ascii="Arial" w:eastAsia="Times New Roman" w:hAnsi="Arial" w:cs="Arial"/>
          <w:b/>
          <w:color w:val="000000"/>
          <w:sz w:val="24"/>
          <w:szCs w:val="24"/>
          <w:lang w:val="es-ES" w:eastAsia="es-ES"/>
        </w:rPr>
        <w:t xml:space="preserve">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w:t>
      </w:r>
      <w:r w:rsidRPr="00085C0E">
        <w:rPr>
          <w:rFonts w:ascii="Arial" w:hAnsi="Arial" w:cs="Arial"/>
          <w:color w:val="000000"/>
        </w:rPr>
        <w:lastRenderedPageBreak/>
        <w:t xml:space="preserve">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lastRenderedPageBreak/>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lastRenderedPageBreak/>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 xml:space="preserve">dos en la presente convocatoria y/o de los siguientes supuestos será causa de </w:t>
      </w:r>
      <w:proofErr w:type="spellStart"/>
      <w:r w:rsidR="0054361C">
        <w:rPr>
          <w:rFonts w:ascii="Arial" w:eastAsia="Times New Roman" w:hAnsi="Arial" w:cs="Arial"/>
          <w:sz w:val="24"/>
          <w:szCs w:val="24"/>
          <w:lang w:val="es-ES" w:eastAsia="es-ES"/>
        </w:rPr>
        <w:t>desechamiento</w:t>
      </w:r>
      <w:proofErr w:type="spellEnd"/>
      <w:r w:rsidR="0054361C">
        <w:rPr>
          <w:rFonts w:ascii="Arial" w:eastAsia="Times New Roman" w:hAnsi="Arial" w:cs="Arial"/>
          <w:sz w:val="24"/>
          <w:szCs w:val="24"/>
          <w:lang w:val="es-ES" w:eastAsia="es-ES"/>
        </w:rPr>
        <w:t xml:space="preserve">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 xml:space="preserve">no será motivo de </w:t>
      </w:r>
      <w:proofErr w:type="spellStart"/>
      <w:r w:rsidRPr="0054361C">
        <w:rPr>
          <w:rFonts w:ascii="Arial" w:eastAsia="Times New Roman" w:hAnsi="Arial" w:cs="Arial"/>
          <w:b/>
          <w:sz w:val="24"/>
          <w:szCs w:val="24"/>
          <w:lang w:val="es-ES" w:eastAsia="es-ES"/>
        </w:rPr>
        <w:t>desechamiento</w:t>
      </w:r>
      <w:proofErr w:type="spellEnd"/>
      <w:r w:rsidRPr="0054361C">
        <w:rPr>
          <w:rFonts w:ascii="Arial" w:eastAsia="Times New Roman" w:hAnsi="Arial" w:cs="Arial"/>
          <w:b/>
          <w:sz w:val="24"/>
          <w:szCs w:val="24"/>
          <w:lang w:val="es-ES" w:eastAsia="es-ES"/>
        </w:rPr>
        <w:t xml:space="preserve">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lastRenderedPageBreak/>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77777777" w:rsidR="00D25F1E" w:rsidRPr="00721713"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A65CD6D" w:rsidR="00D25F1E" w:rsidRPr="00DE4FE9" w:rsidRDefault="00D25F1E" w:rsidP="00D25F1E">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lastRenderedPageBreak/>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lastRenderedPageBreak/>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33E52B33" w:rsidR="00932C85" w:rsidRPr="00FB33FF"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0CBFE0F9"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9636C7">
        <w:rPr>
          <w:rFonts w:ascii="Arial" w:eastAsia="Times New Roman" w:hAnsi="Arial" w:cs="Arial"/>
          <w:color w:val="000000"/>
          <w:sz w:val="24"/>
          <w:szCs w:val="24"/>
          <w:lang w:val="es-ES" w:eastAsia="es-ES"/>
        </w:rPr>
        <w:t xml:space="preserve"> de la Ley</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lastRenderedPageBreak/>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 xml:space="preserve">ubiese transcurrido el plazo adicional que se concede a los proveedores, para </w:t>
      </w:r>
      <w:r w:rsidR="00D25F1E" w:rsidRPr="00A05111">
        <w:rPr>
          <w:rFonts w:ascii="Arial" w:eastAsia="Times New Roman" w:hAnsi="Arial" w:cs="Arial"/>
          <w:color w:val="000000"/>
          <w:spacing w:val="-1"/>
          <w:sz w:val="24"/>
          <w:szCs w:val="24"/>
          <w:lang w:val="es-ES" w:eastAsia="es-ES"/>
        </w:rPr>
        <w:lastRenderedPageBreak/>
        <w:t>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6DD86E49"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230BCB00"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p>
    <w:p w14:paraId="167788CF" w14:textId="77777777" w:rsidR="00A45D71" w:rsidRPr="00A45D71" w:rsidRDefault="00A45D71" w:rsidP="00A45D71">
      <w:pPr>
        <w:spacing w:after="0" w:line="240" w:lineRule="auto"/>
        <w:jc w:val="both"/>
        <w:rPr>
          <w:rFonts w:ascii="Arial" w:eastAsia="Times New Roman" w:hAnsi="Arial" w:cs="Arial"/>
          <w:sz w:val="24"/>
          <w:szCs w:val="24"/>
          <w:lang w:val="es-ES" w:eastAsia="es-ES"/>
        </w:rPr>
      </w:pPr>
      <w:r w:rsidRPr="00A45D71">
        <w:rPr>
          <w:rFonts w:ascii="Arial" w:eastAsia="Times New Roman" w:hAnsi="Arial" w:cs="Arial"/>
          <w:sz w:val="24"/>
          <w:szCs w:val="24"/>
          <w:lang w:val="es-ES" w:eastAsia="es-ES"/>
        </w:rPr>
        <w:t>Se podrá aplicar a partir del primer día de atraso respecto de la fecha máxima de entrega o de la realización del servicio, una pena convencional por incumplimiento, de conformidad a lo establecido en el artículo 276 de la Ley de Instituciones de Seguros y de Fianzas.</w:t>
      </w:r>
    </w:p>
    <w:p w14:paraId="6767E20E" w14:textId="77777777" w:rsidR="008F7045" w:rsidRDefault="008F7045" w:rsidP="00D25F1E">
      <w:pPr>
        <w:widowControl w:val="0"/>
        <w:autoSpaceDE w:val="0"/>
        <w:autoSpaceDN w:val="0"/>
        <w:adjustRightInd w:val="0"/>
        <w:spacing w:before="32" w:after="0" w:line="258" w:lineRule="auto"/>
        <w:ind w:right="58"/>
        <w:jc w:val="both"/>
        <w:rPr>
          <w:rStyle w:val="Refdecomentario"/>
        </w:rPr>
      </w:pPr>
    </w:p>
    <w:p w14:paraId="4C5ED25F" w14:textId="46E8ADFF" w:rsidR="00D25F1E" w:rsidRPr="00A05111" w:rsidRDefault="00AA1349"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cará</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p</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ali</w:t>
      </w:r>
      <w:r w:rsidR="00D25F1E" w:rsidRPr="00721713">
        <w:rPr>
          <w:rFonts w:ascii="Arial" w:eastAsia="Times New Roman" w:hAnsi="Arial" w:cs="Arial"/>
          <w:spacing w:val="-2"/>
          <w:sz w:val="24"/>
          <w:szCs w:val="24"/>
          <w:lang w:val="es-ES" w:eastAsia="es-ES"/>
        </w:rPr>
        <w:t>z</w:t>
      </w:r>
      <w:r w:rsidR="00D25F1E" w:rsidRPr="00721713">
        <w:rPr>
          <w:rFonts w:ascii="Arial" w:eastAsia="Times New Roman" w:hAnsi="Arial" w:cs="Arial"/>
          <w:sz w:val="24"/>
          <w:szCs w:val="24"/>
          <w:lang w:val="es-ES" w:eastAsia="es-ES"/>
        </w:rPr>
        <w:t>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 xml:space="preserve">ón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 en el ca</w:t>
      </w:r>
      <w:r w:rsidR="00D25F1E" w:rsidRPr="00721713">
        <w:rPr>
          <w:rFonts w:ascii="Arial" w:eastAsia="Times New Roman" w:hAnsi="Arial" w:cs="Arial"/>
          <w:spacing w:val="1"/>
          <w:sz w:val="24"/>
          <w:szCs w:val="24"/>
          <w:lang w:val="es-ES" w:eastAsia="es-ES"/>
        </w:rPr>
        <w:t>s</w:t>
      </w:r>
      <w:r w:rsidR="00D25F1E" w:rsidRPr="00721713">
        <w:rPr>
          <w:rFonts w:ascii="Arial" w:eastAsia="Times New Roman" w:hAnsi="Arial" w:cs="Arial"/>
          <w:sz w:val="24"/>
          <w:szCs w:val="24"/>
          <w:lang w:val="es-ES" w:eastAsia="es-ES"/>
        </w:rPr>
        <w:t>o de at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 xml:space="preserve">so 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a o </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á el co</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c</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z w:val="24"/>
          <w:szCs w:val="24"/>
          <w:lang w:val="es-ES" w:eastAsia="es-ES"/>
        </w:rPr>
        <w:t xml:space="preserve">sa del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nc</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 de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6C35D6">
        <w:rPr>
          <w:rFonts w:ascii="Arial" w:eastAsia="Times New Roman" w:hAnsi="Arial" w:cs="Arial"/>
          <w:sz w:val="24"/>
          <w:szCs w:val="24"/>
          <w:lang w:val="es-ES" w:eastAsia="es-ES"/>
        </w:rPr>
        <w:t xml:space="preserve">os </w:t>
      </w:r>
      <w:r w:rsidR="00D25F1E" w:rsidRPr="00721713">
        <w:rPr>
          <w:rFonts w:ascii="Arial" w:eastAsia="Times New Roman" w:hAnsi="Arial" w:cs="Arial"/>
          <w:sz w:val="24"/>
          <w:szCs w:val="24"/>
          <w:lang w:val="es-ES" w:eastAsia="es-ES"/>
        </w:rPr>
        <w:t>b</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es</w:t>
      </w:r>
      <w:r w:rsidR="006C35D6">
        <w:rPr>
          <w:rFonts w:ascii="Arial" w:eastAsia="Times New Roman" w:hAnsi="Arial" w:cs="Arial"/>
          <w:sz w:val="24"/>
          <w:szCs w:val="24"/>
          <w:lang w:val="es-ES" w:eastAsia="es-ES"/>
        </w:rPr>
        <w:t xml:space="preserve"> </w:t>
      </w:r>
      <w:r w:rsidR="006C35D6" w:rsidRPr="00A05111">
        <w:rPr>
          <w:rFonts w:ascii="Arial" w:eastAsia="Times New Roman" w:hAnsi="Arial" w:cs="Arial"/>
          <w:sz w:val="24"/>
          <w:szCs w:val="24"/>
          <w:lang w:val="es-ES" w:eastAsia="es-ES"/>
        </w:rPr>
        <w:t>y/o servicios</w:t>
      </w:r>
      <w:r w:rsidR="00D25F1E" w:rsidRPr="00A05111">
        <w:rPr>
          <w:rFonts w:ascii="Arial" w:eastAsia="Times New Roman" w:hAnsi="Arial" w:cs="Arial"/>
          <w:sz w:val="24"/>
          <w:szCs w:val="24"/>
          <w:lang w:val="es-ES" w:eastAsia="es-ES"/>
        </w:rPr>
        <w:t xml:space="preserve"> en</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é</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no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bl</w:t>
      </w:r>
      <w:r w:rsidR="00D25F1E" w:rsidRPr="00A05111">
        <w:rPr>
          <w:rFonts w:ascii="Arial" w:eastAsia="Times New Roman" w:hAnsi="Arial" w:cs="Arial"/>
          <w:sz w:val="24"/>
          <w:szCs w:val="24"/>
          <w:lang w:val="es-ES" w:eastAsia="es-ES"/>
        </w:rPr>
        <w:t>ec</w:t>
      </w:r>
      <w:r w:rsidR="00D25F1E" w:rsidRPr="00A05111">
        <w:rPr>
          <w:rFonts w:ascii="Arial" w:eastAsia="Times New Roman" w:hAnsi="Arial" w:cs="Arial"/>
          <w:spacing w:val="-4"/>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 xml:space="preserve">en el </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ato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B21002">
        <w:rPr>
          <w:rFonts w:ascii="Arial" w:eastAsia="Times New Roman" w:hAnsi="Arial" w:cs="Arial"/>
          <w:sz w:val="24"/>
          <w:szCs w:val="24"/>
          <w:lang w:val="es-ES" w:eastAsia="es-ES"/>
        </w:rPr>
        <w:t>u</w:t>
      </w:r>
      <w:r w:rsidR="00D25F1E" w:rsidRPr="00A05111">
        <w:rPr>
          <w:rFonts w:ascii="Arial" w:eastAsia="Times New Roman" w:hAnsi="Arial" w:cs="Arial"/>
          <w:sz w:val="24"/>
          <w:szCs w:val="24"/>
          <w:lang w:val="es-ES" w:eastAsia="es-ES"/>
        </w:rPr>
        <w:t xml:space="preserve"> 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de c</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 xml:space="preserve">o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el</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z</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 xml:space="preserve">ue se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e 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da</w:t>
      </w:r>
      <w:r w:rsidR="00D25F1E"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al proveedor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ra</w:t>
      </w:r>
      <w:r w:rsidR="00D25F1E" w:rsidRPr="00A05111">
        <w:rPr>
          <w:rFonts w:ascii="Arial" w:eastAsia="Times New Roman" w:hAnsi="Arial" w:cs="Arial"/>
          <w:spacing w:val="-2"/>
          <w:sz w:val="24"/>
          <w:szCs w:val="24"/>
          <w:lang w:val="es-ES" w:eastAsia="es-ES"/>
        </w:rPr>
        <w:t>z</w:t>
      </w:r>
      <w:r w:rsidR="00D25F1E" w:rsidRPr="00A05111">
        <w:rPr>
          <w:rFonts w:ascii="Arial" w:eastAsia="Times New Roman" w:hAnsi="Arial" w:cs="Arial"/>
          <w:sz w:val="24"/>
          <w:szCs w:val="24"/>
          <w:lang w:val="es-ES" w:eastAsia="es-ES"/>
        </w:rPr>
        <w:t>ón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er</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ó</w:t>
      </w:r>
      <w:r w:rsidR="00D25F1E" w:rsidRPr="00A05111">
        <w:rPr>
          <w:rFonts w:ascii="Arial" w:eastAsia="Times New Roman" w:hAnsi="Arial" w:cs="Arial"/>
          <w:spacing w:val="1"/>
          <w:sz w:val="24"/>
          <w:szCs w:val="24"/>
          <w:lang w:val="es-ES" w:eastAsia="es-ES"/>
        </w:rPr>
        <w:t>rr</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 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3"/>
          <w:sz w:val="24"/>
          <w:szCs w:val="24"/>
          <w:lang w:val="es-ES" w:eastAsia="es-ES"/>
        </w:rPr>
        <w:t>i</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ó</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eri</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de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p</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nte</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a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acc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 xml:space="preserve">es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ercit</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se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ñ</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y</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rj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os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 se</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con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 xml:space="preserve">l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nc</w:t>
      </w:r>
      <w:r w:rsidR="00D25F1E" w:rsidRPr="00A05111">
        <w:rPr>
          <w:rFonts w:ascii="Arial" w:eastAsia="Times New Roman" w:hAnsi="Arial" w:cs="Arial"/>
          <w:spacing w:val="-1"/>
          <w:sz w:val="24"/>
          <w:szCs w:val="24"/>
          <w:lang w:val="es-ES" w:eastAsia="es-ES"/>
        </w:rPr>
        <w:t>u</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en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z w:val="24"/>
          <w:szCs w:val="24"/>
          <w:lang w:val="es-ES" w:eastAsia="es-ES"/>
        </w:rPr>
        <w:t>q</w:t>
      </w:r>
      <w:r w:rsidR="00D25F1E" w:rsidRPr="00A05111">
        <w:rPr>
          <w:rFonts w:ascii="Arial" w:eastAsia="Times New Roman" w:hAnsi="Arial" w:cs="Arial"/>
          <w:spacing w:val="-1"/>
          <w:sz w:val="24"/>
          <w:szCs w:val="24"/>
          <w:lang w:val="es-ES" w:eastAsia="es-ES"/>
        </w:rPr>
        <w:t>ui</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tr</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z w:val="24"/>
          <w:szCs w:val="24"/>
          <w:lang w:val="es-ES" w:eastAsia="es-ES"/>
        </w:rPr>
        <w:t>e 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l</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pro</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5"/>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di</w:t>
      </w:r>
      <w:r w:rsidR="00D25F1E" w:rsidRPr="00A05111">
        <w:rPr>
          <w:rFonts w:ascii="Arial" w:eastAsia="Times New Roman" w:hAnsi="Arial" w:cs="Arial"/>
          <w:sz w:val="24"/>
          <w:szCs w:val="24"/>
          <w:lang w:val="es-ES" w:eastAsia="es-ES"/>
        </w:rPr>
        <w:t>ca</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 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d con</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o 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sp</w:t>
      </w:r>
      <w:r w:rsidR="00D25F1E" w:rsidRPr="00A05111">
        <w:rPr>
          <w:rFonts w:ascii="Arial" w:eastAsia="Times New Roman" w:hAnsi="Arial" w:cs="Arial"/>
          <w:spacing w:val="-3"/>
          <w:sz w:val="24"/>
          <w:szCs w:val="24"/>
          <w:lang w:val="es-ES" w:eastAsia="es-ES"/>
        </w:rPr>
        <w:t>u</w:t>
      </w:r>
      <w:r w:rsidR="00D25F1E" w:rsidRPr="00A05111">
        <w:rPr>
          <w:rFonts w:ascii="Arial" w:eastAsia="Times New Roman" w:hAnsi="Arial" w:cs="Arial"/>
          <w:sz w:val="24"/>
          <w:szCs w:val="24"/>
          <w:lang w:val="es-ES" w:eastAsia="es-ES"/>
        </w:rPr>
        <w:t>esto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pacing w:val="-4"/>
          <w:sz w:val="24"/>
          <w:szCs w:val="24"/>
          <w:lang w:val="es-ES" w:eastAsia="es-ES"/>
        </w:rPr>
        <w:t>í</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 xml:space="preserve">o 107 </w:t>
      </w:r>
      <w:r w:rsidR="00D25F1E" w:rsidRPr="00A05111">
        <w:rPr>
          <w:rFonts w:ascii="Arial" w:eastAsia="Times New Roman" w:hAnsi="Arial" w:cs="Arial"/>
          <w:spacing w:val="-2"/>
          <w:sz w:val="24"/>
          <w:szCs w:val="24"/>
          <w:lang w:val="es-ES" w:eastAsia="es-ES"/>
        </w:rPr>
        <w:t>d</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ame</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 de</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a Le</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z w:val="24"/>
          <w:szCs w:val="24"/>
          <w:lang w:val="es-ES" w:eastAsia="es-ES"/>
        </w:rPr>
        <w:t>.</w:t>
      </w:r>
    </w:p>
    <w:p w14:paraId="6CB9637F" w14:textId="77777777" w:rsidR="00D25F1E" w:rsidRPr="00A05111"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1F2AE8F0" w14:textId="7D6AA48E"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 xml:space="preserve">los </w:t>
      </w:r>
      <w:r w:rsidR="006C35D6" w:rsidRPr="00A05111">
        <w:rPr>
          <w:rFonts w:ascii="Arial" w:hAnsi="Arial" w:cs="Arial"/>
          <w:sz w:val="24"/>
        </w:rPr>
        <w:t>bienes y/o</w:t>
      </w:r>
      <w:r w:rsidR="006C35D6"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sidR="00B21002">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lastRenderedPageBreak/>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sidR="00B21002">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C3704F2"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75C595DF" w14:textId="2A2EAA1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006C35D6" w:rsidRPr="00721713">
        <w:rPr>
          <w:rFonts w:ascii="Arial" w:eastAsia="Times New Roman" w:hAnsi="Arial" w:cs="Arial"/>
          <w:sz w:val="24"/>
          <w:szCs w:val="24"/>
          <w:lang w:val="es-ES" w:eastAsia="es-ES"/>
        </w:rPr>
        <w:t>de</w:t>
      </w:r>
      <w:r w:rsidR="006C35D6" w:rsidRPr="00721713">
        <w:rPr>
          <w:rFonts w:ascii="Arial" w:eastAsia="Times New Roman" w:hAnsi="Arial" w:cs="Arial"/>
          <w:spacing w:val="-4"/>
          <w:sz w:val="24"/>
          <w:szCs w:val="24"/>
          <w:lang w:val="es-ES" w:eastAsia="es-ES"/>
        </w:rPr>
        <w:t>l</w:t>
      </w:r>
      <w:r w:rsidR="006C35D6">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00B21002">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006C35D6" w:rsidRPr="00721713">
        <w:rPr>
          <w:rFonts w:ascii="Arial" w:eastAsia="Times New Roman" w:hAnsi="Arial" w:cs="Arial"/>
          <w:spacing w:val="-1"/>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6"/>
          <w:sz w:val="24"/>
          <w:szCs w:val="24"/>
          <w:lang w:val="es-ES" w:eastAsia="es-ES"/>
        </w:rPr>
        <w:t xml:space="preserve"> </w:t>
      </w:r>
      <w:r w:rsidR="006C35D6" w:rsidRPr="00721713">
        <w:rPr>
          <w:rFonts w:ascii="Arial" w:eastAsia="Times New Roman" w:hAnsi="Arial" w:cs="Arial"/>
          <w:spacing w:val="-1"/>
          <w:sz w:val="24"/>
          <w:szCs w:val="24"/>
          <w:lang w:val="es-ES" w:eastAsia="es-ES"/>
        </w:rPr>
        <w:t>p</w:t>
      </w:r>
      <w:r w:rsidR="006C35D6" w:rsidRPr="00721713">
        <w:rPr>
          <w:rFonts w:ascii="Arial" w:eastAsia="Times New Roman" w:hAnsi="Arial" w:cs="Arial"/>
          <w:spacing w:val="-3"/>
          <w:sz w:val="24"/>
          <w:szCs w:val="24"/>
          <w:lang w:val="es-ES" w:eastAsia="es-ES"/>
        </w:rPr>
        <w:t>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sidR="00B21002">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00B21002">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r </w:t>
      </w:r>
      <w:r w:rsidR="006C35D6" w:rsidRPr="00A05111">
        <w:rPr>
          <w:rFonts w:ascii="Arial" w:eastAsia="Times New Roman" w:hAnsi="Arial" w:cs="Arial"/>
          <w:sz w:val="24"/>
          <w:szCs w:val="24"/>
          <w:lang w:val="es-ES" w:eastAsia="es-ES"/>
        </w:rPr>
        <w:t xml:space="preserve"> la </w:t>
      </w:r>
      <w:r w:rsidRPr="00A05111">
        <w:rPr>
          <w:rFonts w:ascii="Arial" w:eastAsia="Times New Roman" w:hAnsi="Arial" w:cs="Arial"/>
          <w:sz w:val="24"/>
          <w:szCs w:val="24"/>
          <w:lang w:val="es-ES" w:eastAsia="es-ES"/>
        </w:rPr>
        <w:t>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381383AC"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01BAC71D" w14:textId="03CB537D" w:rsidR="00546B42" w:rsidRPr="00B21002" w:rsidRDefault="006309FC" w:rsidP="00B21002">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3"/>
          <w:sz w:val="24"/>
          <w:szCs w:val="24"/>
          <w:lang w:val="es-ES" w:eastAsia="es-ES"/>
        </w:rPr>
        <w:t xml:space="preserve"> </w:t>
      </w:r>
      <w:r w:rsidR="006C35D6" w:rsidRPr="00721713">
        <w:rPr>
          <w:rFonts w:ascii="Arial" w:eastAsia="Times New Roman" w:hAnsi="Arial" w:cs="Arial"/>
          <w:spacing w:val="-1"/>
          <w:sz w:val="24"/>
          <w:szCs w:val="24"/>
          <w:lang w:val="es-ES" w:eastAsia="es-ES"/>
        </w:rPr>
        <w:t>pr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1"/>
          <w:sz w:val="24"/>
          <w:szCs w:val="24"/>
          <w:lang w:val="es-ES" w:eastAsia="es-ES"/>
        </w:rPr>
        <w:t>j</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bli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er</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con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sa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pr</w:t>
      </w:r>
      <w:r w:rsidR="00D25F1E" w:rsidRPr="00721713">
        <w:rPr>
          <w:rFonts w:ascii="Arial" w:eastAsia="Times New Roman" w:hAnsi="Arial" w:cs="Arial"/>
          <w:spacing w:val="-2"/>
          <w:sz w:val="24"/>
          <w:szCs w:val="24"/>
          <w:lang w:val="es-ES" w:eastAsia="es-ES"/>
        </w:rPr>
        <w:t>ó</w:t>
      </w:r>
      <w:r w:rsidR="00D25F1E" w:rsidRPr="00721713">
        <w:rPr>
          <w:rFonts w:ascii="Arial" w:eastAsia="Times New Roman" w:hAnsi="Arial" w:cs="Arial"/>
          <w:spacing w:val="1"/>
          <w:sz w:val="24"/>
          <w:szCs w:val="24"/>
          <w:lang w:val="es-ES" w:eastAsia="es-ES"/>
        </w:rPr>
        <w:t>rr</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C</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is</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es se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ún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3"/>
          <w:sz w:val="24"/>
          <w:szCs w:val="24"/>
          <w:lang w:val="es-ES" w:eastAsia="es-ES"/>
        </w:rPr>
        <w:t>L</w:t>
      </w:r>
      <w:r w:rsidR="00D25F1E" w:rsidRPr="00721713">
        <w:rPr>
          <w:rFonts w:ascii="Arial" w:eastAsia="Times New Roman" w:hAnsi="Arial" w:cs="Arial"/>
          <w:sz w:val="24"/>
          <w:szCs w:val="24"/>
          <w:lang w:val="es-ES" w:eastAsia="es-ES"/>
        </w:rPr>
        <w:t>ey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de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C</w:t>
      </w:r>
      <w:r w:rsidR="00D25F1E" w:rsidRPr="00721713">
        <w:rPr>
          <w:rFonts w:ascii="Arial" w:eastAsia="Times New Roman" w:hAnsi="Arial" w:cs="Arial"/>
          <w:spacing w:val="-3"/>
          <w:sz w:val="24"/>
          <w:szCs w:val="24"/>
          <w:lang w:val="es-ES" w:eastAsia="es-ES"/>
        </w:rPr>
        <w:t>ó</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w:t>
      </w:r>
      <w:r w:rsidR="00D25F1E" w:rsidRPr="00721713">
        <w:rPr>
          <w:rFonts w:ascii="Arial" w:eastAsia="Times New Roman" w:hAnsi="Arial" w:cs="Arial"/>
          <w:sz w:val="24"/>
          <w:szCs w:val="24"/>
          <w:lang w:val="es-ES" w:eastAsia="es-ES"/>
        </w:rPr>
        <w:t>sca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amb</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 xml:space="preserve">l </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de Ja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sco</w:t>
      </w:r>
      <w:r w:rsidR="00B21002">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c</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do</w:t>
      </w:r>
      <w:r w:rsidR="00D25F1E" w:rsidRPr="00721713">
        <w:rPr>
          <w:rFonts w:ascii="Arial" w:eastAsia="Times New Roman" w:hAnsi="Arial" w:cs="Arial"/>
          <w:spacing w:val="3"/>
          <w:sz w:val="24"/>
          <w:szCs w:val="24"/>
          <w:lang w:val="es-ES" w:eastAsia="es-ES"/>
        </w:rPr>
        <w:t xml:space="preserve"> </w:t>
      </w:r>
      <w:r w:rsidR="00B21002">
        <w:rPr>
          <w:rFonts w:ascii="Arial" w:eastAsia="Times New Roman" w:hAnsi="Arial" w:cs="Arial"/>
          <w:sz w:val="24"/>
          <w:szCs w:val="24"/>
          <w:lang w:val="es-ES" w:eastAsia="es-ES"/>
        </w:rPr>
        <w:t>la ASEJ</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d</w:t>
      </w:r>
      <w:r w:rsidR="00D25F1E" w:rsidRPr="00721713">
        <w:rPr>
          <w:rFonts w:ascii="Arial" w:eastAsia="Times New Roman" w:hAnsi="Arial" w:cs="Arial"/>
          <w:sz w:val="24"/>
          <w:szCs w:val="24"/>
          <w:lang w:val="es-ES" w:eastAsia="es-ES"/>
        </w:rPr>
        <w:t>et</w:t>
      </w:r>
      <w:r w:rsidR="00D25F1E" w:rsidRPr="00721713">
        <w:rPr>
          <w:rFonts w:ascii="Arial" w:eastAsia="Times New Roman" w:hAnsi="Arial" w:cs="Arial"/>
          <w:spacing w:val="-2"/>
          <w:sz w:val="24"/>
          <w:szCs w:val="24"/>
          <w:lang w:val="es-ES" w:eastAsia="es-ES"/>
        </w:rPr>
        <w:t>e</w:t>
      </w:r>
      <w:r w:rsidR="00D25F1E" w:rsidRPr="00721713">
        <w:rPr>
          <w:rFonts w:ascii="Arial" w:eastAsia="Times New Roman" w:hAnsi="Arial" w:cs="Arial"/>
          <w:spacing w:val="1"/>
          <w:sz w:val="24"/>
          <w:szCs w:val="24"/>
          <w:lang w:val="es-ES" w:eastAsia="es-ES"/>
        </w:rPr>
        <w:t>rm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el </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 xml:space="preserve">bien(es) y/o </w:t>
      </w:r>
      <w:r w:rsidR="00D25F1E" w:rsidRPr="00721713">
        <w:rPr>
          <w:rFonts w:ascii="Arial" w:eastAsia="Times New Roman" w:hAnsi="Arial" w:cs="Arial"/>
          <w:sz w:val="24"/>
          <w:szCs w:val="24"/>
          <w:lang w:val="es-ES" w:eastAsia="es-ES"/>
        </w:rPr>
        <w:t>ser</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h</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z w:val="24"/>
          <w:szCs w:val="24"/>
          <w:lang w:val="es-ES" w:eastAsia="es-ES"/>
        </w:rPr>
        <w:t>a(n) s</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do 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z w:val="24"/>
          <w:szCs w:val="24"/>
          <w:lang w:val="es-ES" w:eastAsia="es-ES"/>
        </w:rPr>
        <w:t>ectuos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p</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nten</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oc</w:t>
      </w:r>
      <w:r w:rsidR="00D25F1E" w:rsidRPr="00721713">
        <w:rPr>
          <w:rFonts w:ascii="Arial" w:eastAsia="Times New Roman" w:hAnsi="Arial" w:cs="Arial"/>
          <w:spacing w:val="-1"/>
          <w:sz w:val="24"/>
          <w:szCs w:val="24"/>
          <w:lang w:val="es-ES" w:eastAsia="es-ES"/>
        </w:rPr>
        <w:t>ul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con 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49"/>
          <w:sz w:val="24"/>
          <w:szCs w:val="24"/>
          <w:lang w:val="es-ES" w:eastAsia="es-ES"/>
        </w:rPr>
        <w:t xml:space="preserve"> </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4"/>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so</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no</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con</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 o por ser</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era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no 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B21002">
        <w:rPr>
          <w:rFonts w:ascii="Arial" w:eastAsia="Times New Roman" w:hAnsi="Arial" w:cs="Arial"/>
          <w:sz w:val="24"/>
          <w:szCs w:val="24"/>
          <w:lang w:val="es-ES" w:eastAsia="es-ES"/>
        </w:rPr>
        <w:t>.</w:t>
      </w:r>
    </w:p>
    <w:p w14:paraId="1FC050BD" w14:textId="3FD840B8" w:rsidR="00D25F1E" w:rsidRPr="00B21002" w:rsidRDefault="00B7089A" w:rsidP="00B21002">
      <w:pPr>
        <w:pStyle w:val="Ttulo1"/>
      </w:pPr>
      <w:bookmarkStart w:id="47" w:name="_Toc135041724"/>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w:t>
      </w:r>
      <w:r w:rsidRPr="00721713">
        <w:rPr>
          <w:rFonts w:ascii="Arial" w:eastAsia="Times New Roman" w:hAnsi="Arial" w:cs="Arial"/>
          <w:spacing w:val="-1"/>
          <w:sz w:val="24"/>
          <w:szCs w:val="24"/>
          <w:lang w:val="es-ES" w:eastAsia="es-ES"/>
        </w:rPr>
        <w:lastRenderedPageBreak/>
        <w:t xml:space="preserve">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lastRenderedPageBreak/>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5CD6857E"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LP-__-__-2023</w:t>
      </w:r>
      <w:r w:rsidR="00A21DF9">
        <w:rPr>
          <w:rFonts w:ascii="Arial" w:hAnsi="Arial" w:cs="Arial"/>
          <w:b/>
          <w:sz w:val="24"/>
          <w:szCs w:val="24"/>
        </w:rPr>
        <w:t xml:space="preserve"> BIS</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w:t>
      </w:r>
      <w:r w:rsidRPr="007D5D48">
        <w:rPr>
          <w:rFonts w:ascii="Arial" w:hAnsi="Arial" w:cs="Arial"/>
          <w:sz w:val="24"/>
          <w:szCs w:val="24"/>
        </w:rPr>
        <w:lastRenderedPageBreak/>
        <w:t xml:space="preserve">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lastRenderedPageBreak/>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Pr="007D5D48">
        <w:rPr>
          <w:rFonts w:ascii="Arial" w:hAnsi="Arial" w:cs="Arial"/>
        </w:rPr>
        <w:t xml:space="preserve"> de dos mil veintitrés,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lastRenderedPageBreak/>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lastRenderedPageBreak/>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lastRenderedPageBreak/>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lastRenderedPageBreak/>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07FC24FF" w14:textId="767EFC19" w:rsidR="00127875" w:rsidRDefault="008244D2" w:rsidP="00127875">
      <w:pPr>
        <w:pStyle w:val="Lista3"/>
        <w:shd w:val="clear" w:color="auto" w:fill="FFFFFF" w:themeFill="background1"/>
        <w:ind w:left="0" w:firstLine="0"/>
        <w:jc w:val="both"/>
        <w:rPr>
          <w:rFonts w:ascii="Arial" w:hAnsi="Arial" w:cs="Arial"/>
          <w:sz w:val="24"/>
          <w:szCs w:val="24"/>
        </w:rPr>
      </w:pPr>
      <w:r w:rsidRPr="003A4BA6">
        <w:rPr>
          <w:rFonts w:ascii="Arial" w:hAnsi="Arial" w:cs="Arial"/>
          <w:b/>
        </w:rPr>
        <w:t xml:space="preserve">DÉCIMA OCTAVA. PENAS </w:t>
      </w:r>
      <w:r w:rsidRPr="007D5C41">
        <w:rPr>
          <w:rFonts w:ascii="Arial" w:hAnsi="Arial" w:cs="Arial"/>
          <w:b/>
        </w:rPr>
        <w:t>CONVENCIONALES.</w:t>
      </w:r>
      <w:r w:rsidRPr="00C47308">
        <w:rPr>
          <w:rFonts w:ascii="Arial" w:hAnsi="Arial" w:cs="Arial"/>
        </w:rPr>
        <w:t xml:space="preserve"> </w:t>
      </w:r>
      <w:r w:rsidR="00127875" w:rsidRPr="00127875">
        <w:t xml:space="preserve"> </w:t>
      </w:r>
      <w:r w:rsidR="00127875" w:rsidRPr="00127875">
        <w:rPr>
          <w:rFonts w:ascii="Arial" w:hAnsi="Arial" w:cs="Arial"/>
          <w:sz w:val="24"/>
          <w:szCs w:val="24"/>
        </w:rPr>
        <w:t>Se podrá aplicar a partir del primer día de atraso respecto de la fecha máxima de entrega o de la realización del servicio, una pena convencional por incumplimiento, de conformidad a lo establecido en el artículo 276 de la Ley de Instituciones de Seguros y de Fianzas.</w:t>
      </w:r>
    </w:p>
    <w:p w14:paraId="19B25419" w14:textId="5C03AEEA" w:rsidR="008244D2" w:rsidRPr="009B4AED" w:rsidRDefault="008244D2" w:rsidP="008244D2">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69510877" w14:textId="77777777" w:rsidR="008244D2" w:rsidRDefault="008244D2" w:rsidP="008244D2">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xml:space="preserve">, y tiene su fundamento legal en los artículos 79 y 134 de la Constitución Política de los Estados Unidos Mexicanos; así como en los artículos 6°, 7°, 49 fracción IX </w:t>
      </w:r>
      <w:r w:rsidRPr="003A4BA6">
        <w:rPr>
          <w:rFonts w:ascii="Arial" w:hAnsi="Arial" w:cs="Arial"/>
          <w:sz w:val="24"/>
          <w:szCs w:val="24"/>
        </w:rPr>
        <w:lastRenderedPageBreak/>
        <w:t>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77777777"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a </w:t>
      </w:r>
      <w:r>
        <w:rPr>
          <w:rFonts w:ascii="Arial" w:hAnsi="Arial" w:cs="Arial"/>
          <w:sz w:val="24"/>
        </w:rPr>
        <w:t xml:space="preserve">treinta y uno de enero </w:t>
      </w:r>
      <w:r w:rsidRPr="00022A5B">
        <w:rPr>
          <w:rFonts w:ascii="Arial" w:hAnsi="Arial" w:cs="Arial"/>
          <w:sz w:val="24"/>
        </w:rPr>
        <w:t xml:space="preserve">de dos mil </w:t>
      </w:r>
      <w:r>
        <w:rPr>
          <w:rFonts w:ascii="Arial" w:hAnsi="Arial" w:cs="Arial"/>
          <w:sz w:val="24"/>
        </w:rPr>
        <w:t>veintitrés</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35479C86"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16451990"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Pr>
          <w:rFonts w:ascii="Arial" w:hAnsi="Arial" w:cs="Arial"/>
          <w:sz w:val="14"/>
          <w:szCs w:val="14"/>
        </w:rPr>
        <w:t>LP-__-00_-2023</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EE66CB" w:rsidRDefault="00EE66CB" w:rsidP="00203087">
      <w:pPr>
        <w:spacing w:after="0" w:line="240" w:lineRule="auto"/>
      </w:pPr>
      <w:r>
        <w:separator/>
      </w:r>
    </w:p>
  </w:endnote>
  <w:endnote w:type="continuationSeparator" w:id="0">
    <w:p w14:paraId="339D9169" w14:textId="77777777" w:rsidR="00EE66CB" w:rsidRDefault="00EE66CB"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0BBF3D3A" w:rsidR="00EE66CB" w:rsidRPr="00FE3509" w:rsidRDefault="00EE66CB"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D672C6">
          <w:rPr>
            <w:rFonts w:ascii="Arial" w:hAnsi="Arial" w:cs="Arial"/>
            <w:noProof/>
            <w:sz w:val="22"/>
          </w:rPr>
          <w:t>47</w:t>
        </w:r>
        <w:r w:rsidRPr="00FE3509">
          <w:rPr>
            <w:rFonts w:ascii="Arial" w:hAnsi="Arial" w:cs="Arial"/>
            <w:sz w:val="22"/>
          </w:rPr>
          <w:fldChar w:fldCharType="end"/>
        </w:r>
      </w:p>
    </w:sdtContent>
  </w:sdt>
  <w:p w14:paraId="4BD93C9F" w14:textId="77777777" w:rsidR="00EE66CB" w:rsidRDefault="00EE66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EE66CB" w:rsidRDefault="00EE66CB" w:rsidP="00203087">
      <w:pPr>
        <w:spacing w:after="0" w:line="240" w:lineRule="auto"/>
      </w:pPr>
      <w:r>
        <w:separator/>
      </w:r>
    </w:p>
  </w:footnote>
  <w:footnote w:type="continuationSeparator" w:id="0">
    <w:p w14:paraId="13365356" w14:textId="77777777" w:rsidR="00EE66CB" w:rsidRDefault="00EE66CB"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1F78B030"/>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7"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39"/>
  </w:num>
  <w:num w:numId="3">
    <w:abstractNumId w:val="15"/>
  </w:num>
  <w:num w:numId="4">
    <w:abstractNumId w:val="29"/>
  </w:num>
  <w:num w:numId="5">
    <w:abstractNumId w:val="18"/>
  </w:num>
  <w:num w:numId="6">
    <w:abstractNumId w:val="27"/>
  </w:num>
  <w:num w:numId="7">
    <w:abstractNumId w:val="10"/>
  </w:num>
  <w:num w:numId="8">
    <w:abstractNumId w:val="40"/>
  </w:num>
  <w:num w:numId="9">
    <w:abstractNumId w:val="12"/>
  </w:num>
  <w:num w:numId="10">
    <w:abstractNumId w:val="19"/>
  </w:num>
  <w:num w:numId="11">
    <w:abstractNumId w:val="9"/>
  </w:num>
  <w:num w:numId="12">
    <w:abstractNumId w:val="26"/>
  </w:num>
  <w:num w:numId="13">
    <w:abstractNumId w:val="3"/>
  </w:num>
  <w:num w:numId="14">
    <w:abstractNumId w:val="6"/>
  </w:num>
  <w:num w:numId="15">
    <w:abstractNumId w:val="43"/>
  </w:num>
  <w:num w:numId="16">
    <w:abstractNumId w:val="2"/>
  </w:num>
  <w:num w:numId="17">
    <w:abstractNumId w:val="22"/>
  </w:num>
  <w:num w:numId="18">
    <w:abstractNumId w:val="45"/>
  </w:num>
  <w:num w:numId="19">
    <w:abstractNumId w:val="23"/>
  </w:num>
  <w:num w:numId="20">
    <w:abstractNumId w:val="8"/>
  </w:num>
  <w:num w:numId="21">
    <w:abstractNumId w:val="0"/>
  </w:num>
  <w:num w:numId="22">
    <w:abstractNumId w:val="16"/>
  </w:num>
  <w:num w:numId="23">
    <w:abstractNumId w:val="37"/>
  </w:num>
  <w:num w:numId="24">
    <w:abstractNumId w:val="25"/>
  </w:num>
  <w:num w:numId="25">
    <w:abstractNumId w:val="7"/>
  </w:num>
  <w:num w:numId="26">
    <w:abstractNumId w:val="36"/>
  </w:num>
  <w:num w:numId="27">
    <w:abstractNumId w:val="46"/>
  </w:num>
  <w:num w:numId="28">
    <w:abstractNumId w:val="42"/>
  </w:num>
  <w:num w:numId="29">
    <w:abstractNumId w:val="28"/>
  </w:num>
  <w:num w:numId="30">
    <w:abstractNumId w:val="31"/>
  </w:num>
  <w:num w:numId="31">
    <w:abstractNumId w:val="21"/>
  </w:num>
  <w:num w:numId="32">
    <w:abstractNumId w:val="1"/>
  </w:num>
  <w:num w:numId="33">
    <w:abstractNumId w:val="33"/>
  </w:num>
  <w:num w:numId="34">
    <w:abstractNumId w:val="14"/>
  </w:num>
  <w:num w:numId="35">
    <w:abstractNumId w:val="24"/>
  </w:num>
  <w:num w:numId="36">
    <w:abstractNumId w:val="44"/>
  </w:num>
  <w:num w:numId="37">
    <w:abstractNumId w:val="17"/>
  </w:num>
  <w:num w:numId="38">
    <w:abstractNumId w:val="38"/>
  </w:num>
  <w:num w:numId="39">
    <w:abstractNumId w:val="20"/>
  </w:num>
  <w:num w:numId="40">
    <w:abstractNumId w:val="30"/>
  </w:num>
  <w:num w:numId="41">
    <w:abstractNumId w:val="47"/>
  </w:num>
  <w:num w:numId="42">
    <w:abstractNumId w:val="4"/>
  </w:num>
  <w:num w:numId="43">
    <w:abstractNumId w:val="35"/>
  </w:num>
  <w:num w:numId="44">
    <w:abstractNumId w:val="34"/>
  </w:num>
  <w:num w:numId="45">
    <w:abstractNumId w:val="32"/>
  </w:num>
  <w:num w:numId="46">
    <w:abstractNumId w:val="41"/>
  </w:num>
  <w:num w:numId="47">
    <w:abstractNumId w:val="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270E3"/>
    <w:rsid w:val="00036178"/>
    <w:rsid w:val="000535E7"/>
    <w:rsid w:val="00061BB1"/>
    <w:rsid w:val="000667B0"/>
    <w:rsid w:val="00072B87"/>
    <w:rsid w:val="0008563A"/>
    <w:rsid w:val="00085C0E"/>
    <w:rsid w:val="00091F9B"/>
    <w:rsid w:val="00092B91"/>
    <w:rsid w:val="000A578C"/>
    <w:rsid w:val="000C341B"/>
    <w:rsid w:val="000D4B48"/>
    <w:rsid w:val="000D558B"/>
    <w:rsid w:val="000F57B7"/>
    <w:rsid w:val="00112D85"/>
    <w:rsid w:val="001153E6"/>
    <w:rsid w:val="001214A0"/>
    <w:rsid w:val="00122575"/>
    <w:rsid w:val="001269C6"/>
    <w:rsid w:val="00127875"/>
    <w:rsid w:val="001611AF"/>
    <w:rsid w:val="00161382"/>
    <w:rsid w:val="00163A3F"/>
    <w:rsid w:val="001731C2"/>
    <w:rsid w:val="0018205D"/>
    <w:rsid w:val="0018304E"/>
    <w:rsid w:val="00197543"/>
    <w:rsid w:val="001A11E4"/>
    <w:rsid w:val="001A64A0"/>
    <w:rsid w:val="001D3950"/>
    <w:rsid w:val="001D4611"/>
    <w:rsid w:val="00203087"/>
    <w:rsid w:val="00254B00"/>
    <w:rsid w:val="00284988"/>
    <w:rsid w:val="002A38F1"/>
    <w:rsid w:val="002A6AE2"/>
    <w:rsid w:val="002B595A"/>
    <w:rsid w:val="002C5FA3"/>
    <w:rsid w:val="002E254B"/>
    <w:rsid w:val="002F17AF"/>
    <w:rsid w:val="00310815"/>
    <w:rsid w:val="00312FA9"/>
    <w:rsid w:val="003131BB"/>
    <w:rsid w:val="00313A8C"/>
    <w:rsid w:val="00366F11"/>
    <w:rsid w:val="00372372"/>
    <w:rsid w:val="00396B21"/>
    <w:rsid w:val="00397416"/>
    <w:rsid w:val="003C2BA9"/>
    <w:rsid w:val="003D1522"/>
    <w:rsid w:val="003D4281"/>
    <w:rsid w:val="003E79FB"/>
    <w:rsid w:val="00403C45"/>
    <w:rsid w:val="0040494E"/>
    <w:rsid w:val="00416643"/>
    <w:rsid w:val="00445162"/>
    <w:rsid w:val="00460114"/>
    <w:rsid w:val="00461068"/>
    <w:rsid w:val="0046403C"/>
    <w:rsid w:val="004738FA"/>
    <w:rsid w:val="0048188E"/>
    <w:rsid w:val="004962BC"/>
    <w:rsid w:val="004A05C0"/>
    <w:rsid w:val="004A5E2B"/>
    <w:rsid w:val="004C34D2"/>
    <w:rsid w:val="004D3756"/>
    <w:rsid w:val="004D6D6A"/>
    <w:rsid w:val="004E4940"/>
    <w:rsid w:val="004E735F"/>
    <w:rsid w:val="004F4F72"/>
    <w:rsid w:val="004F5973"/>
    <w:rsid w:val="004F6C91"/>
    <w:rsid w:val="004F7B0E"/>
    <w:rsid w:val="005005E4"/>
    <w:rsid w:val="00526E59"/>
    <w:rsid w:val="00530EFE"/>
    <w:rsid w:val="005375E2"/>
    <w:rsid w:val="005379FC"/>
    <w:rsid w:val="0054361C"/>
    <w:rsid w:val="00546B42"/>
    <w:rsid w:val="0056427E"/>
    <w:rsid w:val="005672D9"/>
    <w:rsid w:val="005837E8"/>
    <w:rsid w:val="005A2ECD"/>
    <w:rsid w:val="005B33D1"/>
    <w:rsid w:val="005C6643"/>
    <w:rsid w:val="005E3F48"/>
    <w:rsid w:val="005E604F"/>
    <w:rsid w:val="005E68CB"/>
    <w:rsid w:val="005F25C2"/>
    <w:rsid w:val="00601E4F"/>
    <w:rsid w:val="00601E84"/>
    <w:rsid w:val="006038D7"/>
    <w:rsid w:val="00614569"/>
    <w:rsid w:val="006309FC"/>
    <w:rsid w:val="00636D57"/>
    <w:rsid w:val="0065421E"/>
    <w:rsid w:val="006666A9"/>
    <w:rsid w:val="00667808"/>
    <w:rsid w:val="00674896"/>
    <w:rsid w:val="00675522"/>
    <w:rsid w:val="00682811"/>
    <w:rsid w:val="00684A98"/>
    <w:rsid w:val="00687A82"/>
    <w:rsid w:val="006975BC"/>
    <w:rsid w:val="006B0A1A"/>
    <w:rsid w:val="006C35D6"/>
    <w:rsid w:val="006E1B33"/>
    <w:rsid w:val="006F1531"/>
    <w:rsid w:val="006F6985"/>
    <w:rsid w:val="00704772"/>
    <w:rsid w:val="00704B33"/>
    <w:rsid w:val="00705B60"/>
    <w:rsid w:val="00715B8F"/>
    <w:rsid w:val="00721713"/>
    <w:rsid w:val="00721DA6"/>
    <w:rsid w:val="007222C4"/>
    <w:rsid w:val="00732669"/>
    <w:rsid w:val="00743E28"/>
    <w:rsid w:val="00771827"/>
    <w:rsid w:val="00787404"/>
    <w:rsid w:val="007A70E7"/>
    <w:rsid w:val="007B3A4D"/>
    <w:rsid w:val="007B5759"/>
    <w:rsid w:val="007C233B"/>
    <w:rsid w:val="007F1F46"/>
    <w:rsid w:val="00804C05"/>
    <w:rsid w:val="0080746F"/>
    <w:rsid w:val="00807F62"/>
    <w:rsid w:val="008211BD"/>
    <w:rsid w:val="008244D2"/>
    <w:rsid w:val="00846876"/>
    <w:rsid w:val="00867A7C"/>
    <w:rsid w:val="00886770"/>
    <w:rsid w:val="008918D7"/>
    <w:rsid w:val="008A616A"/>
    <w:rsid w:val="008C488F"/>
    <w:rsid w:val="008E0A7E"/>
    <w:rsid w:val="008F7045"/>
    <w:rsid w:val="009010AD"/>
    <w:rsid w:val="00923D2C"/>
    <w:rsid w:val="00926113"/>
    <w:rsid w:val="00932C85"/>
    <w:rsid w:val="00954103"/>
    <w:rsid w:val="00962C33"/>
    <w:rsid w:val="009636C7"/>
    <w:rsid w:val="00986BBC"/>
    <w:rsid w:val="0099555A"/>
    <w:rsid w:val="009B0C4B"/>
    <w:rsid w:val="009B16AF"/>
    <w:rsid w:val="009B34D5"/>
    <w:rsid w:val="009B7AD7"/>
    <w:rsid w:val="009E15A4"/>
    <w:rsid w:val="009E7AA9"/>
    <w:rsid w:val="00A05111"/>
    <w:rsid w:val="00A177DB"/>
    <w:rsid w:val="00A21DF9"/>
    <w:rsid w:val="00A34F2B"/>
    <w:rsid w:val="00A44827"/>
    <w:rsid w:val="00A45D71"/>
    <w:rsid w:val="00A543A8"/>
    <w:rsid w:val="00A7179D"/>
    <w:rsid w:val="00A77E90"/>
    <w:rsid w:val="00A80157"/>
    <w:rsid w:val="00AA1349"/>
    <w:rsid w:val="00AB5F9A"/>
    <w:rsid w:val="00AC2910"/>
    <w:rsid w:val="00B019CE"/>
    <w:rsid w:val="00B03113"/>
    <w:rsid w:val="00B048CA"/>
    <w:rsid w:val="00B052A5"/>
    <w:rsid w:val="00B21002"/>
    <w:rsid w:val="00B33783"/>
    <w:rsid w:val="00B43F01"/>
    <w:rsid w:val="00B7089A"/>
    <w:rsid w:val="00B77B84"/>
    <w:rsid w:val="00B84813"/>
    <w:rsid w:val="00BA18C5"/>
    <w:rsid w:val="00BA5F47"/>
    <w:rsid w:val="00BB4ECD"/>
    <w:rsid w:val="00BF6CAE"/>
    <w:rsid w:val="00C17719"/>
    <w:rsid w:val="00C32784"/>
    <w:rsid w:val="00C5034E"/>
    <w:rsid w:val="00C52726"/>
    <w:rsid w:val="00C544EB"/>
    <w:rsid w:val="00C678FA"/>
    <w:rsid w:val="00C728CB"/>
    <w:rsid w:val="00C735D6"/>
    <w:rsid w:val="00C83F55"/>
    <w:rsid w:val="00C97CB8"/>
    <w:rsid w:val="00CB1097"/>
    <w:rsid w:val="00D051D5"/>
    <w:rsid w:val="00D05811"/>
    <w:rsid w:val="00D122E3"/>
    <w:rsid w:val="00D237C0"/>
    <w:rsid w:val="00D25F1E"/>
    <w:rsid w:val="00D3650B"/>
    <w:rsid w:val="00D43AF5"/>
    <w:rsid w:val="00D45302"/>
    <w:rsid w:val="00D57DA5"/>
    <w:rsid w:val="00D60A7C"/>
    <w:rsid w:val="00D672C6"/>
    <w:rsid w:val="00D73BA5"/>
    <w:rsid w:val="00D82E95"/>
    <w:rsid w:val="00D84C57"/>
    <w:rsid w:val="00D87003"/>
    <w:rsid w:val="00DA0B8F"/>
    <w:rsid w:val="00DA14F0"/>
    <w:rsid w:val="00DD5A52"/>
    <w:rsid w:val="00DE4FE9"/>
    <w:rsid w:val="00E20542"/>
    <w:rsid w:val="00E26562"/>
    <w:rsid w:val="00E40BA1"/>
    <w:rsid w:val="00E40F0C"/>
    <w:rsid w:val="00E43BC1"/>
    <w:rsid w:val="00E7222D"/>
    <w:rsid w:val="00E77CF3"/>
    <w:rsid w:val="00E87FCF"/>
    <w:rsid w:val="00EB2361"/>
    <w:rsid w:val="00EC365B"/>
    <w:rsid w:val="00EC3D11"/>
    <w:rsid w:val="00ED14C4"/>
    <w:rsid w:val="00ED1805"/>
    <w:rsid w:val="00EE6479"/>
    <w:rsid w:val="00EE66CB"/>
    <w:rsid w:val="00F06316"/>
    <w:rsid w:val="00F40DE9"/>
    <w:rsid w:val="00F41914"/>
    <w:rsid w:val="00F54DE6"/>
    <w:rsid w:val="00F657DF"/>
    <w:rsid w:val="00F7753C"/>
    <w:rsid w:val="00F86E7B"/>
    <w:rsid w:val="00F875B6"/>
    <w:rsid w:val="00F9166E"/>
    <w:rsid w:val="00F956CB"/>
    <w:rsid w:val="00FB14E7"/>
    <w:rsid w:val="00FB33FF"/>
    <w:rsid w:val="00FC638B"/>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759BF-0C12-4CE9-95E4-62871A67F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48</Pages>
  <Words>17477</Words>
  <Characters>96128</Characters>
  <Application>Microsoft Office Word</Application>
  <DocSecurity>0</DocSecurity>
  <Lines>801</Lines>
  <Paragraphs>226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Javier Aguila Espinoza</cp:lastModifiedBy>
  <cp:revision>23</cp:revision>
  <cp:lastPrinted>2023-11-29T19:52:00Z</cp:lastPrinted>
  <dcterms:created xsi:type="dcterms:W3CDTF">2023-09-07T15:41:00Z</dcterms:created>
  <dcterms:modified xsi:type="dcterms:W3CDTF">2023-12-08T19:17:00Z</dcterms:modified>
</cp:coreProperties>
</file>