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1DEE" w14:textId="043A2F91" w:rsidR="00286B98" w:rsidRPr="00804227" w:rsidRDefault="00286B98" w:rsidP="006566C1">
      <w:pPr>
        <w:widowControl w:val="0"/>
        <w:autoSpaceDE w:val="0"/>
        <w:autoSpaceDN w:val="0"/>
        <w:adjustRightInd w:val="0"/>
        <w:spacing w:line="257" w:lineRule="auto"/>
        <w:ind w:right="62"/>
        <w:jc w:val="center"/>
        <w:rPr>
          <w:rFonts w:ascii="Arial" w:hAnsi="Arial" w:cs="Arial"/>
          <w:b/>
          <w:color w:val="000000"/>
        </w:rPr>
      </w:pPr>
      <w:r w:rsidRPr="00804227">
        <w:rPr>
          <w:rFonts w:ascii="Arial" w:hAnsi="Arial" w:cs="Arial"/>
          <w:b/>
          <w:color w:val="000000"/>
        </w:rPr>
        <w:t xml:space="preserve">ESPECIFICACIONES </w:t>
      </w:r>
      <w:r w:rsidR="005F4BAE" w:rsidRPr="00804227">
        <w:rPr>
          <w:rFonts w:ascii="Arial" w:hAnsi="Arial" w:cs="Arial"/>
          <w:b/>
          <w:color w:val="000000"/>
        </w:rPr>
        <w:t>REQUERIDAS PARA LOS ANEXOS 1 Y 5</w:t>
      </w:r>
    </w:p>
    <w:p w14:paraId="72E161EC" w14:textId="4B769085" w:rsidR="005F4BAE" w:rsidRPr="00804227"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67210701" w14:textId="4BF650B5" w:rsidR="00286B98" w:rsidRPr="00804227" w:rsidRDefault="005F4BAE" w:rsidP="006566C1">
      <w:pPr>
        <w:widowControl w:val="0"/>
        <w:autoSpaceDE w:val="0"/>
        <w:autoSpaceDN w:val="0"/>
        <w:adjustRightInd w:val="0"/>
        <w:spacing w:line="257" w:lineRule="auto"/>
        <w:ind w:left="100" w:right="62"/>
        <w:jc w:val="center"/>
        <w:rPr>
          <w:rFonts w:ascii="Arial" w:hAnsi="Arial" w:cs="Arial"/>
          <w:b/>
          <w:color w:val="000000"/>
        </w:rPr>
      </w:pPr>
      <w:r w:rsidRPr="00804227">
        <w:rPr>
          <w:rFonts w:ascii="Arial" w:hAnsi="Arial" w:cs="Arial"/>
          <w:b/>
          <w:color w:val="000000"/>
        </w:rPr>
        <w:t xml:space="preserve">Propuesta Técnica y Económica </w:t>
      </w:r>
    </w:p>
    <w:p w14:paraId="73F21883" w14:textId="77777777" w:rsidR="00286B98" w:rsidRPr="00804227" w:rsidRDefault="00286B98" w:rsidP="00286B98">
      <w:pPr>
        <w:widowControl w:val="0"/>
        <w:autoSpaceDE w:val="0"/>
        <w:autoSpaceDN w:val="0"/>
        <w:adjustRightInd w:val="0"/>
        <w:spacing w:line="228" w:lineRule="exact"/>
        <w:ind w:left="105" w:right="-20"/>
        <w:jc w:val="center"/>
        <w:rPr>
          <w:rFonts w:ascii="Arial" w:hAnsi="Arial" w:cs="Arial"/>
          <w:b/>
          <w:bCs/>
        </w:rPr>
      </w:pPr>
    </w:p>
    <w:p w14:paraId="0A56B3A7" w14:textId="738E7074" w:rsidR="00351A41" w:rsidRDefault="00286B98" w:rsidP="00351A4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804227">
        <w:rPr>
          <w:rFonts w:ascii="Arial" w:hAnsi="Arial" w:cs="Arial"/>
          <w:b/>
          <w:bCs/>
        </w:rPr>
        <w:t>Requerimiento:</w:t>
      </w:r>
    </w:p>
    <w:p w14:paraId="0A953AC0" w14:textId="77777777" w:rsidR="00351A41" w:rsidRDefault="00351A41" w:rsidP="00351A41">
      <w:pPr>
        <w:pStyle w:val="Prrafodelista"/>
        <w:widowControl w:val="0"/>
        <w:autoSpaceDE w:val="0"/>
        <w:autoSpaceDN w:val="0"/>
        <w:adjustRightInd w:val="0"/>
        <w:spacing w:after="240" w:line="228" w:lineRule="exact"/>
        <w:ind w:left="825" w:right="-20"/>
        <w:jc w:val="both"/>
        <w:rPr>
          <w:rFonts w:ascii="Arial" w:hAnsi="Arial" w:cs="Arial"/>
          <w:bCs/>
        </w:rPr>
      </w:pPr>
    </w:p>
    <w:p w14:paraId="3A7D04A2" w14:textId="4D15FD4C" w:rsidR="00351A41" w:rsidRDefault="00351A41" w:rsidP="00351A41">
      <w:pPr>
        <w:pStyle w:val="Prrafodelista"/>
        <w:widowControl w:val="0"/>
        <w:numPr>
          <w:ilvl w:val="0"/>
          <w:numId w:val="3"/>
        </w:numPr>
        <w:autoSpaceDE w:val="0"/>
        <w:autoSpaceDN w:val="0"/>
        <w:adjustRightInd w:val="0"/>
        <w:spacing w:after="240" w:line="228" w:lineRule="exact"/>
        <w:ind w:right="-20"/>
        <w:jc w:val="both"/>
        <w:rPr>
          <w:rFonts w:ascii="Arial" w:hAnsi="Arial" w:cs="Arial"/>
          <w:bCs/>
        </w:rPr>
      </w:pPr>
      <w:r>
        <w:rPr>
          <w:rFonts w:ascii="Arial" w:hAnsi="Arial" w:cs="Arial"/>
          <w:bCs/>
        </w:rPr>
        <w:t xml:space="preserve">Adquisición de un (01) escáner de alto volumen </w:t>
      </w:r>
    </w:p>
    <w:p w14:paraId="246D70CF" w14:textId="78DD127C" w:rsidR="00351A41" w:rsidRDefault="00351A41" w:rsidP="00351A41">
      <w:pPr>
        <w:pStyle w:val="Prrafodelista"/>
        <w:widowControl w:val="0"/>
        <w:autoSpaceDE w:val="0"/>
        <w:autoSpaceDN w:val="0"/>
        <w:adjustRightInd w:val="0"/>
        <w:spacing w:after="240" w:line="228" w:lineRule="exact"/>
        <w:ind w:left="825" w:right="-20"/>
        <w:jc w:val="both"/>
        <w:rPr>
          <w:rFonts w:ascii="Arial" w:hAnsi="Arial" w:cs="Arial"/>
          <w:bCs/>
        </w:rPr>
      </w:pPr>
    </w:p>
    <w:p w14:paraId="541B205F" w14:textId="68F607D2" w:rsidR="00351A41" w:rsidRPr="00351A41" w:rsidRDefault="00351A41" w:rsidP="00351A41">
      <w:pPr>
        <w:pStyle w:val="Prrafodelista"/>
        <w:widowControl w:val="0"/>
        <w:autoSpaceDE w:val="0"/>
        <w:autoSpaceDN w:val="0"/>
        <w:adjustRightInd w:val="0"/>
        <w:spacing w:after="240" w:line="228" w:lineRule="exact"/>
        <w:ind w:right="-20"/>
        <w:jc w:val="both"/>
        <w:rPr>
          <w:rFonts w:ascii="Arial" w:hAnsi="Arial" w:cs="Arial"/>
          <w:bCs/>
        </w:rPr>
      </w:pPr>
      <w:r>
        <w:rPr>
          <w:rFonts w:ascii="Arial" w:hAnsi="Arial" w:cs="Arial"/>
          <w:bCs/>
        </w:rPr>
        <w:t>Deberá incluir soporte por un año</w:t>
      </w:r>
    </w:p>
    <w:p w14:paraId="48E2EDDD" w14:textId="77777777" w:rsidR="002E2CA7" w:rsidRPr="002E2CA7" w:rsidRDefault="002E2CA7" w:rsidP="002E2CA7">
      <w:pPr>
        <w:pStyle w:val="Prrafodelista"/>
        <w:widowControl w:val="0"/>
        <w:autoSpaceDE w:val="0"/>
        <w:autoSpaceDN w:val="0"/>
        <w:adjustRightInd w:val="0"/>
        <w:spacing w:after="240" w:line="228" w:lineRule="exact"/>
        <w:ind w:left="825" w:right="-20"/>
        <w:jc w:val="both"/>
        <w:rPr>
          <w:rFonts w:ascii="Arial" w:hAnsi="Arial" w:cs="Arial"/>
          <w:b/>
          <w:bCs/>
        </w:rPr>
      </w:pPr>
    </w:p>
    <w:p w14:paraId="370BD47C" w14:textId="46668590" w:rsidR="00351A41" w:rsidRPr="00351A41" w:rsidRDefault="009E4DF3" w:rsidP="00351A4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8269C2">
        <w:rPr>
          <w:rFonts w:ascii="Arial" w:hAnsi="Arial" w:cs="Arial"/>
          <w:b/>
          <w:bCs/>
        </w:rPr>
        <w:t>Especificaciones técnicas mínimas requeridas:</w:t>
      </w:r>
    </w:p>
    <w:tbl>
      <w:tblPr>
        <w:tblStyle w:val="Cuadrculadetablaclara"/>
        <w:tblW w:w="9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7"/>
      </w:tblGrid>
      <w:tr w:rsidR="00351A41" w:rsidRPr="00351A41" w14:paraId="19D5DCDD" w14:textId="77777777" w:rsidTr="00351A41">
        <w:trPr>
          <w:trHeight w:val="657"/>
          <w:jc w:val="right"/>
        </w:trPr>
        <w:tc>
          <w:tcPr>
            <w:tcW w:w="9354" w:type="dxa"/>
            <w:gridSpan w:val="2"/>
            <w:shd w:val="clear" w:color="auto" w:fill="B4C6E7" w:themeFill="accent5" w:themeFillTint="66"/>
            <w:noWrap/>
          </w:tcPr>
          <w:p w14:paraId="74C80012" w14:textId="77777777" w:rsidR="00351A41" w:rsidRPr="00351A41" w:rsidRDefault="00351A41" w:rsidP="00F23C8C">
            <w:pPr>
              <w:jc w:val="center"/>
              <w:rPr>
                <w:rFonts w:ascii="Arial" w:hAnsi="Arial" w:cs="Arial"/>
                <w:b/>
                <w:bCs/>
                <w:sz w:val="18"/>
                <w:szCs w:val="18"/>
                <w:highlight w:val="yellow"/>
                <w:lang w:val="es-MX" w:eastAsia="es-MX"/>
              </w:rPr>
            </w:pPr>
          </w:p>
          <w:p w14:paraId="37B79B84" w14:textId="77777777" w:rsidR="00351A41" w:rsidRPr="00351A41" w:rsidRDefault="00351A41" w:rsidP="00F23C8C">
            <w:pPr>
              <w:jc w:val="center"/>
              <w:rPr>
                <w:rFonts w:ascii="Arial" w:hAnsi="Arial" w:cs="Arial"/>
                <w:b/>
                <w:sz w:val="18"/>
                <w:szCs w:val="18"/>
                <w:highlight w:val="yellow"/>
                <w:lang w:val="es-MX" w:eastAsia="es-MX"/>
              </w:rPr>
            </w:pPr>
            <w:r w:rsidRPr="00351A41">
              <w:rPr>
                <w:rFonts w:ascii="Arial" w:hAnsi="Arial" w:cs="Arial"/>
                <w:b/>
                <w:sz w:val="18"/>
                <w:szCs w:val="18"/>
                <w:lang w:val="es-MX" w:eastAsia="es-MX"/>
              </w:rPr>
              <w:t>ESCÁNER DE ALTO VOLUMEN</w:t>
            </w:r>
          </w:p>
        </w:tc>
      </w:tr>
      <w:tr w:rsidR="00351A41" w:rsidRPr="00351A41" w14:paraId="6F9FC946" w14:textId="77777777" w:rsidTr="00351A41">
        <w:trPr>
          <w:trHeight w:val="557"/>
          <w:jc w:val="right"/>
        </w:trPr>
        <w:tc>
          <w:tcPr>
            <w:tcW w:w="2547" w:type="dxa"/>
            <w:shd w:val="clear" w:color="auto" w:fill="B4C6E7" w:themeFill="accent5" w:themeFillTint="66"/>
            <w:noWrap/>
            <w:hideMark/>
          </w:tcPr>
          <w:p w14:paraId="3C86CFD2" w14:textId="77777777" w:rsidR="00351A41" w:rsidRPr="00351A41" w:rsidRDefault="00351A41" w:rsidP="00F23C8C">
            <w:pPr>
              <w:jc w:val="center"/>
              <w:rPr>
                <w:rFonts w:ascii="Arial" w:hAnsi="Arial" w:cs="Arial"/>
                <w:b/>
                <w:sz w:val="18"/>
                <w:szCs w:val="18"/>
                <w:lang w:val="es-MX" w:eastAsia="es-MX"/>
              </w:rPr>
            </w:pPr>
          </w:p>
          <w:p w14:paraId="1ADF7459"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TIPO</w:t>
            </w:r>
          </w:p>
        </w:tc>
        <w:tc>
          <w:tcPr>
            <w:tcW w:w="6807" w:type="dxa"/>
            <w:hideMark/>
          </w:tcPr>
          <w:p w14:paraId="097F31A2"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Alimentador automático de documentos (ADF)/Alimentación manual, escáner de producción de volumen medio dúplex.</w:t>
            </w:r>
          </w:p>
        </w:tc>
      </w:tr>
      <w:tr w:rsidR="00351A41" w:rsidRPr="00351A41" w14:paraId="2BCEB605" w14:textId="77777777" w:rsidTr="00351A41">
        <w:trPr>
          <w:trHeight w:val="716"/>
          <w:jc w:val="right"/>
        </w:trPr>
        <w:tc>
          <w:tcPr>
            <w:tcW w:w="2547" w:type="dxa"/>
            <w:shd w:val="clear" w:color="auto" w:fill="B4C6E7" w:themeFill="accent5" w:themeFillTint="66"/>
            <w:noWrap/>
            <w:hideMark/>
          </w:tcPr>
          <w:p w14:paraId="5FF96FD3" w14:textId="77777777" w:rsidR="00351A41" w:rsidRPr="00351A41" w:rsidRDefault="00351A41" w:rsidP="00F23C8C">
            <w:pPr>
              <w:jc w:val="center"/>
              <w:rPr>
                <w:rFonts w:ascii="Arial" w:hAnsi="Arial" w:cs="Arial"/>
                <w:b/>
                <w:sz w:val="18"/>
                <w:szCs w:val="18"/>
                <w:lang w:val="es-MX" w:eastAsia="es-MX"/>
              </w:rPr>
            </w:pPr>
          </w:p>
          <w:p w14:paraId="7F43D2FB"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VELOCIDAD</w:t>
            </w:r>
          </w:p>
        </w:tc>
        <w:tc>
          <w:tcPr>
            <w:tcW w:w="6807" w:type="dxa"/>
            <w:hideMark/>
          </w:tcPr>
          <w:p w14:paraId="6801E583"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150 ppm (una cara) /300 ipm (doble cara) en color, en escala de grises y blanco y negro a 200 dpi y 300 dpi (A4 horizontal)</w:t>
            </w:r>
          </w:p>
        </w:tc>
      </w:tr>
      <w:tr w:rsidR="00351A41" w:rsidRPr="00351A41" w14:paraId="709B05BB" w14:textId="77777777" w:rsidTr="00351A41">
        <w:trPr>
          <w:trHeight w:val="676"/>
          <w:jc w:val="right"/>
        </w:trPr>
        <w:tc>
          <w:tcPr>
            <w:tcW w:w="2547" w:type="dxa"/>
            <w:shd w:val="clear" w:color="auto" w:fill="B4C6E7" w:themeFill="accent5" w:themeFillTint="66"/>
            <w:noWrap/>
            <w:hideMark/>
          </w:tcPr>
          <w:p w14:paraId="3429B915" w14:textId="77777777" w:rsidR="00351A41" w:rsidRPr="00351A41" w:rsidRDefault="00351A41" w:rsidP="00F23C8C">
            <w:pPr>
              <w:jc w:val="center"/>
              <w:rPr>
                <w:rFonts w:ascii="Arial" w:hAnsi="Arial" w:cs="Arial"/>
                <w:b/>
                <w:sz w:val="18"/>
                <w:szCs w:val="18"/>
                <w:lang w:val="es-MX" w:eastAsia="es-MX"/>
              </w:rPr>
            </w:pPr>
          </w:p>
          <w:p w14:paraId="3FAE173F"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TAMAÑO DE PAPEL</w:t>
            </w:r>
          </w:p>
        </w:tc>
        <w:tc>
          <w:tcPr>
            <w:tcW w:w="6807" w:type="dxa"/>
            <w:hideMark/>
          </w:tcPr>
          <w:p w14:paraId="14BEA3B5" w14:textId="77777777" w:rsidR="00351A41" w:rsidRPr="00351A41" w:rsidRDefault="00351A41" w:rsidP="00F23C8C">
            <w:pPr>
              <w:rPr>
                <w:rFonts w:ascii="Arial" w:hAnsi="Arial" w:cs="Arial"/>
                <w:sz w:val="18"/>
                <w:szCs w:val="18"/>
                <w:lang w:val="en-US" w:eastAsia="es-MX"/>
              </w:rPr>
            </w:pPr>
            <w:r w:rsidRPr="00351A41">
              <w:rPr>
                <w:rFonts w:ascii="Arial" w:hAnsi="Arial" w:cs="Arial"/>
                <w:sz w:val="18"/>
                <w:szCs w:val="18"/>
                <w:lang w:val="en-US" w:eastAsia="es-MX"/>
              </w:rPr>
              <w:t>ADF mín.: 52 mm x 74 mm (2 pulg. x 2,72 pulg.) - ADF máx.: 304,8 mm x 431,8 mm (12 pulg. x 17 pulg.)</w:t>
            </w:r>
          </w:p>
        </w:tc>
      </w:tr>
      <w:tr w:rsidR="00351A41" w:rsidRPr="00351A41" w14:paraId="15F67A55" w14:textId="77777777" w:rsidTr="00351A41">
        <w:trPr>
          <w:trHeight w:val="402"/>
          <w:jc w:val="right"/>
        </w:trPr>
        <w:tc>
          <w:tcPr>
            <w:tcW w:w="2547" w:type="dxa"/>
            <w:shd w:val="clear" w:color="auto" w:fill="B4C6E7" w:themeFill="accent5" w:themeFillTint="66"/>
            <w:noWrap/>
            <w:hideMark/>
          </w:tcPr>
          <w:p w14:paraId="0637D2DE"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CAPACIDAD ADF</w:t>
            </w:r>
          </w:p>
        </w:tc>
        <w:tc>
          <w:tcPr>
            <w:tcW w:w="6807" w:type="dxa"/>
            <w:hideMark/>
          </w:tcPr>
          <w:p w14:paraId="26A152E9"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 xml:space="preserve">500 x carta de 20 lb </w:t>
            </w:r>
          </w:p>
        </w:tc>
      </w:tr>
      <w:tr w:rsidR="00351A41" w:rsidRPr="00351A41" w14:paraId="2C529D7B" w14:textId="77777777" w:rsidTr="00351A41">
        <w:trPr>
          <w:trHeight w:val="578"/>
          <w:jc w:val="right"/>
        </w:trPr>
        <w:tc>
          <w:tcPr>
            <w:tcW w:w="2547" w:type="dxa"/>
            <w:shd w:val="clear" w:color="auto" w:fill="B4C6E7" w:themeFill="accent5" w:themeFillTint="66"/>
            <w:hideMark/>
          </w:tcPr>
          <w:p w14:paraId="2BBFBF82"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 xml:space="preserve">MODOS DE COLOR DE </w:t>
            </w:r>
            <w:r w:rsidRPr="00351A41">
              <w:rPr>
                <w:rFonts w:ascii="Arial" w:hAnsi="Arial" w:cs="Arial"/>
                <w:b/>
                <w:sz w:val="18"/>
                <w:szCs w:val="18"/>
                <w:lang w:val="es-MX" w:eastAsia="es-MX"/>
              </w:rPr>
              <w:br/>
              <w:t>LA DIGITALIZACIÓN</w:t>
            </w:r>
          </w:p>
        </w:tc>
        <w:tc>
          <w:tcPr>
            <w:tcW w:w="6807" w:type="dxa"/>
            <w:hideMark/>
          </w:tcPr>
          <w:p w14:paraId="7622B3A4"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Color, escala de grises, monocromo, detección automática (color, escala de grises, monocromo).</w:t>
            </w:r>
          </w:p>
        </w:tc>
      </w:tr>
      <w:tr w:rsidR="00351A41" w:rsidRPr="00351A41" w14:paraId="149032D9" w14:textId="77777777" w:rsidTr="00351A41">
        <w:trPr>
          <w:trHeight w:val="357"/>
          <w:jc w:val="right"/>
        </w:trPr>
        <w:tc>
          <w:tcPr>
            <w:tcW w:w="2547" w:type="dxa"/>
            <w:shd w:val="clear" w:color="auto" w:fill="B4C6E7" w:themeFill="accent5" w:themeFillTint="66"/>
            <w:noWrap/>
            <w:hideMark/>
          </w:tcPr>
          <w:p w14:paraId="787037BF"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RESOLUCIÓN ÓPTICA</w:t>
            </w:r>
          </w:p>
        </w:tc>
        <w:tc>
          <w:tcPr>
            <w:tcW w:w="6807" w:type="dxa"/>
            <w:hideMark/>
          </w:tcPr>
          <w:p w14:paraId="04177FD8"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600 ppp</w:t>
            </w:r>
          </w:p>
        </w:tc>
      </w:tr>
      <w:tr w:rsidR="00351A41" w:rsidRPr="00351A41" w14:paraId="05788EBA" w14:textId="77777777" w:rsidTr="00351A41">
        <w:trPr>
          <w:trHeight w:val="541"/>
          <w:jc w:val="right"/>
        </w:trPr>
        <w:tc>
          <w:tcPr>
            <w:tcW w:w="2547" w:type="dxa"/>
            <w:shd w:val="clear" w:color="auto" w:fill="B4C6E7" w:themeFill="accent5" w:themeFillTint="66"/>
            <w:hideMark/>
          </w:tcPr>
          <w:p w14:paraId="7AFB7D34"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 xml:space="preserve">TIPOS DE </w:t>
            </w:r>
            <w:r w:rsidRPr="00351A41">
              <w:rPr>
                <w:rFonts w:ascii="Arial" w:hAnsi="Arial" w:cs="Arial"/>
                <w:b/>
                <w:sz w:val="18"/>
                <w:szCs w:val="18"/>
                <w:lang w:val="es-MX" w:eastAsia="es-MX"/>
              </w:rPr>
              <w:br/>
              <w:t>SENSOR DE IMAGEN</w:t>
            </w:r>
          </w:p>
        </w:tc>
        <w:tc>
          <w:tcPr>
            <w:tcW w:w="6807" w:type="dxa"/>
            <w:hideMark/>
          </w:tcPr>
          <w:p w14:paraId="1CFF33F2"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2 sensores (CCD) (1 en la parte frontal y 1 en la parte trasera)</w:t>
            </w:r>
          </w:p>
        </w:tc>
      </w:tr>
      <w:tr w:rsidR="00351A41" w:rsidRPr="00351A41" w14:paraId="3FAE1FD5" w14:textId="77777777" w:rsidTr="00351A41">
        <w:trPr>
          <w:trHeight w:val="524"/>
          <w:jc w:val="right"/>
        </w:trPr>
        <w:tc>
          <w:tcPr>
            <w:tcW w:w="2547" w:type="dxa"/>
            <w:shd w:val="clear" w:color="auto" w:fill="B4C6E7" w:themeFill="accent5" w:themeFillTint="66"/>
            <w:hideMark/>
          </w:tcPr>
          <w:p w14:paraId="7D0837CE"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 xml:space="preserve">DIGITALIZACIÓN </w:t>
            </w:r>
            <w:r w:rsidRPr="00351A41">
              <w:rPr>
                <w:rFonts w:ascii="Arial" w:hAnsi="Arial" w:cs="Arial"/>
                <w:b/>
                <w:sz w:val="18"/>
                <w:szCs w:val="18"/>
                <w:lang w:val="es-MX" w:eastAsia="es-MX"/>
              </w:rPr>
              <w:br/>
              <w:t>DE PAPEL LARGO</w:t>
            </w:r>
          </w:p>
        </w:tc>
        <w:tc>
          <w:tcPr>
            <w:tcW w:w="6807" w:type="dxa"/>
            <w:hideMark/>
          </w:tcPr>
          <w:p w14:paraId="3F51C98E"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5588 mm (220 in.)</w:t>
            </w:r>
          </w:p>
        </w:tc>
      </w:tr>
      <w:tr w:rsidR="00351A41" w:rsidRPr="00351A41" w14:paraId="483491E3" w14:textId="77777777" w:rsidTr="00351A41">
        <w:trPr>
          <w:trHeight w:val="506"/>
          <w:jc w:val="right"/>
        </w:trPr>
        <w:tc>
          <w:tcPr>
            <w:tcW w:w="2547" w:type="dxa"/>
            <w:shd w:val="clear" w:color="auto" w:fill="B4C6E7" w:themeFill="accent5" w:themeFillTint="66"/>
            <w:hideMark/>
          </w:tcPr>
          <w:p w14:paraId="160800A7"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VOLUMÉN DIARIO</w:t>
            </w:r>
            <w:r w:rsidRPr="00351A41">
              <w:rPr>
                <w:rFonts w:ascii="Arial" w:hAnsi="Arial" w:cs="Arial"/>
                <w:b/>
                <w:sz w:val="18"/>
                <w:szCs w:val="18"/>
                <w:lang w:val="es-MX" w:eastAsia="es-MX"/>
              </w:rPr>
              <w:br/>
              <w:t xml:space="preserve"> ESPERADO</w:t>
            </w:r>
          </w:p>
        </w:tc>
        <w:tc>
          <w:tcPr>
            <w:tcW w:w="6807" w:type="dxa"/>
            <w:hideMark/>
          </w:tcPr>
          <w:p w14:paraId="4C0DCB14"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120 000 hojas como mínimo.</w:t>
            </w:r>
          </w:p>
        </w:tc>
      </w:tr>
      <w:tr w:rsidR="00351A41" w:rsidRPr="00351A41" w14:paraId="668C4B4C" w14:textId="77777777" w:rsidTr="00351A41">
        <w:trPr>
          <w:trHeight w:val="487"/>
          <w:jc w:val="right"/>
        </w:trPr>
        <w:tc>
          <w:tcPr>
            <w:tcW w:w="2547" w:type="dxa"/>
            <w:shd w:val="clear" w:color="auto" w:fill="B4C6E7" w:themeFill="accent5" w:themeFillTint="66"/>
            <w:noWrap/>
            <w:hideMark/>
          </w:tcPr>
          <w:p w14:paraId="23CD8037"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RESOLUCIÓN DE SALIDA</w:t>
            </w:r>
          </w:p>
        </w:tc>
        <w:tc>
          <w:tcPr>
            <w:tcW w:w="6807" w:type="dxa"/>
            <w:hideMark/>
          </w:tcPr>
          <w:p w14:paraId="1DBC9427"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50 a 600 ppp (ajustable en incrementos de 1 ppp), 1200 ppp (controlador)*8</w:t>
            </w:r>
          </w:p>
        </w:tc>
      </w:tr>
      <w:tr w:rsidR="00351A41" w:rsidRPr="00351A41" w14:paraId="16D88611" w14:textId="77777777" w:rsidTr="00351A41">
        <w:trPr>
          <w:trHeight w:val="357"/>
          <w:jc w:val="right"/>
        </w:trPr>
        <w:tc>
          <w:tcPr>
            <w:tcW w:w="2547" w:type="dxa"/>
            <w:shd w:val="clear" w:color="auto" w:fill="B4C6E7" w:themeFill="accent5" w:themeFillTint="66"/>
            <w:noWrap/>
            <w:hideMark/>
          </w:tcPr>
          <w:p w14:paraId="2F31861E"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FORMATO DE SALIDA</w:t>
            </w:r>
          </w:p>
        </w:tc>
        <w:tc>
          <w:tcPr>
            <w:tcW w:w="6807" w:type="dxa"/>
            <w:hideMark/>
          </w:tcPr>
          <w:p w14:paraId="19F2E8C5"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Color: 24 bits, escala de grises: 8 bits, monocromo: 1 bit</w:t>
            </w:r>
          </w:p>
        </w:tc>
      </w:tr>
      <w:tr w:rsidR="00351A41" w:rsidRPr="00351A41" w14:paraId="2A425667" w14:textId="77777777" w:rsidTr="00351A41">
        <w:trPr>
          <w:trHeight w:val="587"/>
          <w:jc w:val="right"/>
        </w:trPr>
        <w:tc>
          <w:tcPr>
            <w:tcW w:w="2547" w:type="dxa"/>
            <w:shd w:val="clear" w:color="auto" w:fill="B4C6E7" w:themeFill="accent5" w:themeFillTint="66"/>
            <w:hideMark/>
          </w:tcPr>
          <w:p w14:paraId="0B9BEC02"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TIPOS DE ARCHIVO</w:t>
            </w:r>
            <w:r w:rsidRPr="00351A41">
              <w:rPr>
                <w:rFonts w:ascii="Arial" w:hAnsi="Arial" w:cs="Arial"/>
                <w:b/>
                <w:sz w:val="18"/>
                <w:szCs w:val="18"/>
                <w:lang w:val="es-MX" w:eastAsia="es-MX"/>
              </w:rPr>
              <w:br/>
              <w:t xml:space="preserve"> DE SALIDA</w:t>
            </w:r>
          </w:p>
        </w:tc>
        <w:tc>
          <w:tcPr>
            <w:tcW w:w="6807" w:type="dxa"/>
            <w:hideMark/>
          </w:tcPr>
          <w:p w14:paraId="77B9B42F"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s-MX" w:eastAsia="es-MX"/>
              </w:rPr>
              <w:t>PDF, PDF con capacidad de búsqueda, PDF/A, TIFF, TIFF de varias páginas, mapa de bits, JPEG, JPEG2000</w:t>
            </w:r>
          </w:p>
        </w:tc>
      </w:tr>
      <w:tr w:rsidR="00351A41" w:rsidRPr="00351A41" w14:paraId="7A6BBA6E" w14:textId="77777777" w:rsidTr="00351A41">
        <w:trPr>
          <w:trHeight w:val="1061"/>
          <w:jc w:val="right"/>
        </w:trPr>
        <w:tc>
          <w:tcPr>
            <w:tcW w:w="2547" w:type="dxa"/>
            <w:shd w:val="clear" w:color="auto" w:fill="B4C6E7" w:themeFill="accent5" w:themeFillTint="66"/>
            <w:hideMark/>
          </w:tcPr>
          <w:p w14:paraId="4DF9737A" w14:textId="77777777" w:rsidR="00351A41" w:rsidRPr="00351A41" w:rsidRDefault="00351A41" w:rsidP="00F23C8C">
            <w:pPr>
              <w:jc w:val="center"/>
              <w:rPr>
                <w:rFonts w:ascii="Arial" w:hAnsi="Arial" w:cs="Arial"/>
                <w:b/>
                <w:sz w:val="18"/>
                <w:szCs w:val="18"/>
                <w:lang w:val="es-MX" w:eastAsia="es-MX"/>
              </w:rPr>
            </w:pPr>
          </w:p>
          <w:p w14:paraId="75CFE2CA" w14:textId="77777777" w:rsidR="00351A41" w:rsidRPr="00351A41" w:rsidRDefault="00351A41" w:rsidP="00F23C8C">
            <w:pPr>
              <w:jc w:val="center"/>
              <w:rPr>
                <w:rFonts w:ascii="Arial" w:hAnsi="Arial" w:cs="Arial"/>
                <w:b/>
                <w:bCs/>
                <w:sz w:val="18"/>
                <w:szCs w:val="18"/>
                <w:lang w:val="es-MX" w:eastAsia="es-MX"/>
              </w:rPr>
            </w:pPr>
            <w:r w:rsidRPr="00351A41">
              <w:rPr>
                <w:rFonts w:ascii="Arial" w:hAnsi="Arial" w:cs="Arial"/>
                <w:b/>
                <w:sz w:val="18"/>
                <w:szCs w:val="18"/>
                <w:lang w:val="es-MX" w:eastAsia="es-MX"/>
              </w:rPr>
              <w:t xml:space="preserve">REQUISITOS </w:t>
            </w:r>
            <w:r w:rsidRPr="00351A41">
              <w:rPr>
                <w:rFonts w:ascii="Arial" w:hAnsi="Arial" w:cs="Arial"/>
                <w:b/>
                <w:sz w:val="18"/>
                <w:szCs w:val="18"/>
                <w:lang w:val="es-MX" w:eastAsia="es-MX"/>
              </w:rPr>
              <w:br/>
              <w:t>DEL SISTEMA</w:t>
            </w:r>
          </w:p>
        </w:tc>
        <w:tc>
          <w:tcPr>
            <w:tcW w:w="6807" w:type="dxa"/>
            <w:hideMark/>
          </w:tcPr>
          <w:p w14:paraId="433C468F" w14:textId="77777777" w:rsidR="00351A41" w:rsidRPr="00351A41" w:rsidRDefault="00351A41" w:rsidP="00F23C8C">
            <w:pPr>
              <w:rPr>
                <w:rFonts w:ascii="Arial" w:hAnsi="Arial" w:cs="Arial"/>
                <w:sz w:val="18"/>
                <w:szCs w:val="18"/>
                <w:lang w:val="es-MX" w:eastAsia="es-MX"/>
              </w:rPr>
            </w:pPr>
            <w:r w:rsidRPr="00351A41">
              <w:rPr>
                <w:rFonts w:ascii="Arial" w:hAnsi="Arial" w:cs="Arial"/>
                <w:sz w:val="18"/>
                <w:szCs w:val="18"/>
                <w:lang w:val="en-US" w:eastAsia="es-MX"/>
              </w:rPr>
              <w:t>Windows® 10 (32 bits/64 bit).</w:t>
            </w:r>
            <w:r w:rsidRPr="00351A41">
              <w:rPr>
                <w:rFonts w:ascii="Arial" w:hAnsi="Arial" w:cs="Arial"/>
                <w:sz w:val="18"/>
                <w:szCs w:val="18"/>
                <w:lang w:val="en-US" w:eastAsia="es-MX"/>
              </w:rPr>
              <w:br/>
              <w:t>Procesador Intel® Core i3 2,5 GHz o superior.</w:t>
            </w:r>
            <w:r w:rsidRPr="00351A41">
              <w:rPr>
                <w:rFonts w:ascii="Arial" w:hAnsi="Arial" w:cs="Arial"/>
                <w:sz w:val="18"/>
                <w:szCs w:val="18"/>
                <w:lang w:val="en-US" w:eastAsia="es-MX"/>
              </w:rPr>
              <w:br/>
            </w:r>
            <w:r w:rsidRPr="00351A41">
              <w:rPr>
                <w:rFonts w:ascii="Arial" w:hAnsi="Arial" w:cs="Arial"/>
                <w:sz w:val="18"/>
                <w:szCs w:val="18"/>
                <w:lang w:val="es-MX" w:eastAsia="es-MX"/>
              </w:rPr>
              <w:t>RAM 2 GB o más.</w:t>
            </w:r>
            <w:r w:rsidRPr="00351A41">
              <w:rPr>
                <w:rFonts w:ascii="Arial" w:hAnsi="Arial" w:cs="Arial"/>
                <w:sz w:val="18"/>
                <w:szCs w:val="18"/>
                <w:lang w:val="es-MX" w:eastAsia="es-MX"/>
              </w:rPr>
              <w:br/>
              <w:t>Puerto: USB 2.0</w:t>
            </w:r>
          </w:p>
        </w:tc>
      </w:tr>
    </w:tbl>
    <w:p w14:paraId="12D8B2F4" w14:textId="0A60AB04" w:rsidR="002E2CA7" w:rsidRDefault="002E2CA7" w:rsidP="00351A41">
      <w:pPr>
        <w:widowControl w:val="0"/>
        <w:autoSpaceDE w:val="0"/>
        <w:autoSpaceDN w:val="0"/>
        <w:adjustRightInd w:val="0"/>
        <w:spacing w:after="240" w:line="228" w:lineRule="exact"/>
        <w:ind w:right="-20"/>
        <w:jc w:val="both"/>
        <w:rPr>
          <w:rFonts w:ascii="Arial" w:hAnsi="Arial" w:cs="Arial"/>
          <w:b/>
          <w:bCs/>
        </w:rPr>
      </w:pPr>
    </w:p>
    <w:p w14:paraId="398D80D6" w14:textId="62ADEED8" w:rsidR="00351A41" w:rsidRDefault="00351A41" w:rsidP="00351A41">
      <w:pPr>
        <w:widowControl w:val="0"/>
        <w:autoSpaceDE w:val="0"/>
        <w:autoSpaceDN w:val="0"/>
        <w:adjustRightInd w:val="0"/>
        <w:spacing w:after="240" w:line="228" w:lineRule="exact"/>
        <w:ind w:right="-20"/>
        <w:jc w:val="both"/>
        <w:rPr>
          <w:rFonts w:ascii="Arial" w:hAnsi="Arial" w:cs="Arial"/>
          <w:b/>
          <w:bCs/>
        </w:rPr>
      </w:pPr>
    </w:p>
    <w:p w14:paraId="45B0BE91" w14:textId="77777777" w:rsidR="00351A41" w:rsidRPr="00351A41" w:rsidRDefault="00351A41" w:rsidP="00351A41">
      <w:pPr>
        <w:widowControl w:val="0"/>
        <w:autoSpaceDE w:val="0"/>
        <w:autoSpaceDN w:val="0"/>
        <w:adjustRightInd w:val="0"/>
        <w:spacing w:after="240" w:line="228" w:lineRule="exact"/>
        <w:ind w:right="-20"/>
        <w:jc w:val="both"/>
        <w:rPr>
          <w:rFonts w:ascii="Arial" w:hAnsi="Arial" w:cs="Arial"/>
          <w:b/>
          <w:bCs/>
        </w:rPr>
      </w:pPr>
    </w:p>
    <w:p w14:paraId="74EA3CA9" w14:textId="26E52422" w:rsidR="00A31A59" w:rsidRDefault="008269C2" w:rsidP="008269C2">
      <w:pPr>
        <w:pStyle w:val="Prrafodelista"/>
        <w:numPr>
          <w:ilvl w:val="0"/>
          <w:numId w:val="1"/>
        </w:numPr>
        <w:shd w:val="clear" w:color="auto" w:fill="FFFFFF"/>
        <w:jc w:val="both"/>
        <w:textAlignment w:val="baseline"/>
        <w:rPr>
          <w:rFonts w:ascii="Arial" w:hAnsi="Arial" w:cs="Arial"/>
        </w:rPr>
      </w:pPr>
      <w:r w:rsidRPr="008269C2">
        <w:rPr>
          <w:rFonts w:ascii="Arial" w:hAnsi="Arial" w:cs="Arial"/>
          <w:b/>
        </w:rPr>
        <w:lastRenderedPageBreak/>
        <w:t>Obligaciones del proveedor</w:t>
      </w:r>
      <w:r w:rsidR="00A31A59" w:rsidRPr="008269C2">
        <w:rPr>
          <w:rFonts w:ascii="Arial" w:hAnsi="Arial" w:cs="Arial"/>
          <w:b/>
        </w:rPr>
        <w:t>:</w:t>
      </w:r>
      <w:r w:rsidR="00A31A59" w:rsidRPr="008269C2">
        <w:rPr>
          <w:rFonts w:ascii="Arial" w:hAnsi="Arial" w:cs="Arial"/>
        </w:rPr>
        <w:t xml:space="preserve"> </w:t>
      </w:r>
    </w:p>
    <w:p w14:paraId="3FA7E6CC" w14:textId="15FDD555" w:rsidR="00351A41" w:rsidRDefault="00351A41" w:rsidP="00351A41">
      <w:pPr>
        <w:pStyle w:val="Prrafodelista"/>
        <w:shd w:val="clear" w:color="auto" w:fill="FFFFFF"/>
        <w:ind w:left="825"/>
        <w:jc w:val="both"/>
        <w:textAlignment w:val="baseline"/>
        <w:rPr>
          <w:rFonts w:ascii="Arial" w:hAnsi="Arial" w:cs="Arial"/>
        </w:rPr>
      </w:pPr>
    </w:p>
    <w:p w14:paraId="3E039364" w14:textId="77777777" w:rsidR="00351A41" w:rsidRPr="00F1215F" w:rsidRDefault="00351A41" w:rsidP="00351A41">
      <w:pPr>
        <w:pStyle w:val="Prrafodelista"/>
        <w:numPr>
          <w:ilvl w:val="0"/>
          <w:numId w:val="2"/>
        </w:numPr>
        <w:spacing w:before="40" w:after="160" w:line="288" w:lineRule="auto"/>
        <w:jc w:val="both"/>
        <w:rPr>
          <w:rFonts w:ascii="Arial" w:hAnsi="Arial" w:cs="Arial"/>
        </w:rPr>
      </w:pPr>
      <w:r w:rsidRPr="00F1215F">
        <w:rPr>
          <w:rFonts w:ascii="Arial" w:hAnsi="Arial" w:cs="Arial"/>
        </w:rPr>
        <w:t>En la propuesta se deberá incluir de manera enunciativa más no limitativa la cantidad, numero de parte, modelo y descripción de los productos.</w:t>
      </w:r>
    </w:p>
    <w:p w14:paraId="1E00E797" w14:textId="77777777" w:rsidR="00351A41" w:rsidRDefault="00351A41" w:rsidP="00351A41">
      <w:pPr>
        <w:pStyle w:val="Prrafodelista"/>
        <w:numPr>
          <w:ilvl w:val="0"/>
          <w:numId w:val="2"/>
        </w:numPr>
        <w:spacing w:before="40" w:after="160" w:line="288" w:lineRule="auto"/>
        <w:jc w:val="both"/>
        <w:rPr>
          <w:rFonts w:ascii="Arial" w:hAnsi="Arial" w:cs="Arial"/>
        </w:rPr>
      </w:pPr>
      <w:r w:rsidRPr="00F1215F">
        <w:rPr>
          <w:rFonts w:ascii="Arial" w:hAnsi="Arial" w:cs="Arial"/>
        </w:rPr>
        <w:t>Los componentes propuestos serán de última generación.</w:t>
      </w:r>
    </w:p>
    <w:p w14:paraId="5065EA67" w14:textId="0FBC53B9" w:rsidR="004A1AE8" w:rsidRDefault="00351A41" w:rsidP="00997AB2">
      <w:pPr>
        <w:spacing w:before="40" w:after="160" w:line="288" w:lineRule="auto"/>
        <w:ind w:left="720"/>
        <w:jc w:val="both"/>
        <w:rPr>
          <w:rFonts w:ascii="Arial" w:hAnsi="Arial" w:cs="Arial"/>
        </w:rPr>
      </w:pPr>
      <w:r w:rsidRPr="00351A41">
        <w:rPr>
          <w:rFonts w:ascii="Arial" w:hAnsi="Arial" w:cs="Arial"/>
        </w:rPr>
        <w:t xml:space="preserve">Todas las especificaciones señaladas son mínimas, por lo </w:t>
      </w:r>
      <w:r>
        <w:rPr>
          <w:rFonts w:ascii="Arial" w:hAnsi="Arial" w:cs="Arial"/>
        </w:rPr>
        <w:t>tanto,</w:t>
      </w:r>
      <w:r w:rsidRPr="00351A41">
        <w:rPr>
          <w:rFonts w:ascii="Arial" w:hAnsi="Arial" w:cs="Arial"/>
        </w:rPr>
        <w:t xml:space="preserve"> el participante podrá ofertar bienes con especificaciones</w:t>
      </w:r>
      <w:r>
        <w:rPr>
          <w:rFonts w:ascii="Arial" w:hAnsi="Arial" w:cs="Arial"/>
        </w:rPr>
        <w:t xml:space="preserve"> superiores</w:t>
      </w:r>
      <w:r w:rsidRPr="00351A41">
        <w:rPr>
          <w:rFonts w:ascii="Arial" w:hAnsi="Arial" w:cs="Arial"/>
        </w:rPr>
        <w:t xml:space="preserve"> si así lo considera conveniente.</w:t>
      </w:r>
      <w:bookmarkStart w:id="0" w:name="_GoBack"/>
      <w:bookmarkEnd w:id="0"/>
    </w:p>
    <w:p w14:paraId="1A533C27" w14:textId="420AF7A8" w:rsidR="004A1AE8" w:rsidRDefault="004A1AE8" w:rsidP="004A1AE8">
      <w:pPr>
        <w:pStyle w:val="Prrafodelista"/>
        <w:numPr>
          <w:ilvl w:val="0"/>
          <w:numId w:val="1"/>
        </w:numPr>
        <w:shd w:val="clear" w:color="auto" w:fill="FFFFFF"/>
        <w:jc w:val="both"/>
        <w:textAlignment w:val="baseline"/>
        <w:rPr>
          <w:rFonts w:ascii="Arial" w:hAnsi="Arial" w:cs="Arial"/>
          <w:b/>
        </w:rPr>
      </w:pPr>
      <w:r w:rsidRPr="004A1AE8">
        <w:rPr>
          <w:rFonts w:ascii="Arial" w:hAnsi="Arial" w:cs="Arial"/>
          <w:b/>
        </w:rPr>
        <w:t xml:space="preserve">Tiempo </w:t>
      </w:r>
      <w:r w:rsidR="00351A41">
        <w:rPr>
          <w:rFonts w:ascii="Arial" w:hAnsi="Arial" w:cs="Arial"/>
          <w:b/>
        </w:rPr>
        <w:t xml:space="preserve">y lugar </w:t>
      </w:r>
      <w:r w:rsidRPr="004A1AE8">
        <w:rPr>
          <w:rFonts w:ascii="Arial" w:hAnsi="Arial" w:cs="Arial"/>
          <w:b/>
        </w:rPr>
        <w:t>de entrega</w:t>
      </w:r>
      <w:r>
        <w:rPr>
          <w:rFonts w:ascii="Arial" w:hAnsi="Arial" w:cs="Arial"/>
          <w:b/>
        </w:rPr>
        <w:t>:</w:t>
      </w:r>
    </w:p>
    <w:p w14:paraId="63025230" w14:textId="77777777" w:rsidR="00351A41" w:rsidRPr="00351A41" w:rsidRDefault="00351A41" w:rsidP="00351A41">
      <w:pPr>
        <w:pStyle w:val="Prrafodelista"/>
        <w:rPr>
          <w:rFonts w:ascii="Arial" w:hAnsi="Arial" w:cs="Arial"/>
          <w:b/>
        </w:rPr>
      </w:pPr>
    </w:p>
    <w:p w14:paraId="4D96D915" w14:textId="33A10BEF" w:rsidR="00351A41" w:rsidRPr="00351A41" w:rsidRDefault="00351A41" w:rsidP="00351A41">
      <w:pPr>
        <w:pStyle w:val="Prrafodelista"/>
        <w:shd w:val="clear" w:color="auto" w:fill="FFFFFF"/>
        <w:spacing w:line="276" w:lineRule="auto"/>
        <w:ind w:left="825"/>
        <w:jc w:val="both"/>
        <w:textAlignment w:val="baseline"/>
        <w:rPr>
          <w:rFonts w:ascii="Arial" w:hAnsi="Arial" w:cs="Arial"/>
        </w:rPr>
      </w:pPr>
      <w:r>
        <w:rPr>
          <w:rFonts w:ascii="Arial" w:hAnsi="Arial" w:cs="Arial"/>
        </w:rPr>
        <w:t>15 quince días hábiles posteriores a la emisión del fallo correspondiente, previa entrega de la orden de compra, en las instalaciones de la Auditoría Superior del Estado de Jalisco, con domicilio en la avenida Niños Héroes número 2409, código postal 44190.</w:t>
      </w:r>
    </w:p>
    <w:p w14:paraId="1B4FD6EE" w14:textId="60F538EF" w:rsidR="004A1AE8" w:rsidRDefault="004A1AE8" w:rsidP="00351A41">
      <w:pPr>
        <w:pStyle w:val="Prrafodelista"/>
        <w:shd w:val="clear" w:color="auto" w:fill="FFFFFF"/>
        <w:spacing w:line="276" w:lineRule="auto"/>
        <w:ind w:left="825"/>
        <w:jc w:val="both"/>
        <w:textAlignment w:val="baseline"/>
        <w:rPr>
          <w:rFonts w:ascii="Arial" w:hAnsi="Arial" w:cs="Arial"/>
          <w:b/>
        </w:rPr>
      </w:pPr>
    </w:p>
    <w:p w14:paraId="0FB4CE03" w14:textId="5E49AC3D" w:rsidR="00E520A4" w:rsidRDefault="00CD5F89" w:rsidP="002E2CA7">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804227">
        <w:rPr>
          <w:rFonts w:ascii="Arial" w:hAnsi="Arial" w:cs="Arial"/>
          <w:b/>
          <w:bCs/>
        </w:rPr>
        <w:t>Garantías</w:t>
      </w:r>
      <w:r w:rsidR="00C9657E">
        <w:rPr>
          <w:rFonts w:ascii="Arial" w:hAnsi="Arial" w:cs="Arial"/>
          <w:b/>
          <w:bCs/>
        </w:rPr>
        <w:t>:</w:t>
      </w:r>
    </w:p>
    <w:p w14:paraId="4B617A26" w14:textId="6F657197" w:rsidR="00351A41" w:rsidRDefault="00351A41" w:rsidP="00351A41">
      <w:pPr>
        <w:pStyle w:val="Prrafodelista"/>
        <w:widowControl w:val="0"/>
        <w:autoSpaceDE w:val="0"/>
        <w:autoSpaceDN w:val="0"/>
        <w:adjustRightInd w:val="0"/>
        <w:spacing w:after="240" w:line="228" w:lineRule="exact"/>
        <w:ind w:left="825" w:right="-20"/>
        <w:jc w:val="both"/>
        <w:rPr>
          <w:rFonts w:ascii="Arial" w:hAnsi="Arial" w:cs="Arial"/>
          <w:b/>
          <w:bCs/>
        </w:rPr>
      </w:pPr>
    </w:p>
    <w:p w14:paraId="0586FC37" w14:textId="1BC179E2" w:rsidR="00351A41" w:rsidRPr="00351A41" w:rsidRDefault="00351A41" w:rsidP="00351A41">
      <w:pPr>
        <w:pStyle w:val="Prrafodelista"/>
        <w:numPr>
          <w:ilvl w:val="0"/>
          <w:numId w:val="4"/>
        </w:numPr>
        <w:spacing w:before="40" w:after="160" w:line="276" w:lineRule="auto"/>
        <w:jc w:val="both"/>
        <w:rPr>
          <w:rFonts w:ascii="Arial" w:hAnsi="Arial" w:cs="Arial"/>
        </w:rPr>
      </w:pPr>
      <w:r w:rsidRPr="00351A41">
        <w:rPr>
          <w:rFonts w:ascii="Arial" w:hAnsi="Arial" w:cs="Arial"/>
        </w:rPr>
        <w:t xml:space="preserve">Carta garantía en hoja membretada donde se garantice el escáner por </w:t>
      </w:r>
      <w:r w:rsidRPr="001E09B4">
        <w:rPr>
          <w:rFonts w:ascii="Arial" w:hAnsi="Arial" w:cs="Arial"/>
        </w:rPr>
        <w:t xml:space="preserve">12 meses </w:t>
      </w:r>
      <w:r>
        <w:rPr>
          <w:rFonts w:ascii="Arial" w:hAnsi="Arial" w:cs="Arial"/>
        </w:rPr>
        <w:t>a partir de la fecha de entrega,</w:t>
      </w:r>
      <w:r w:rsidRPr="001E09B4">
        <w:rPr>
          <w:rFonts w:ascii="Arial" w:hAnsi="Arial" w:cs="Arial"/>
        </w:rPr>
        <w:t xml:space="preserve"> a entera satisfacción de la ASEJ, incluyendo las piezas de recambio, la mano de obra y los desplazamientos.</w:t>
      </w:r>
    </w:p>
    <w:p w14:paraId="26867704" w14:textId="1221E77F" w:rsidR="00351A41" w:rsidRPr="00351A41" w:rsidRDefault="00351A41" w:rsidP="00351A41">
      <w:pPr>
        <w:pStyle w:val="Prrafodelista"/>
        <w:numPr>
          <w:ilvl w:val="0"/>
          <w:numId w:val="4"/>
        </w:numPr>
        <w:spacing w:before="40" w:after="160" w:line="276" w:lineRule="auto"/>
        <w:jc w:val="both"/>
        <w:rPr>
          <w:rFonts w:ascii="Arial" w:hAnsi="Arial" w:cs="Arial"/>
        </w:rPr>
      </w:pPr>
      <w:r w:rsidRPr="00351A41">
        <w:rPr>
          <w:rFonts w:ascii="Arial" w:hAnsi="Arial" w:cs="Arial"/>
        </w:rPr>
        <w:t>Carta garantía en hoja membretada del fabricante y/o distribuidor, por defectos y/o vicios ocultos, daños y/o perju</w:t>
      </w:r>
      <w:r>
        <w:rPr>
          <w:rFonts w:ascii="Arial" w:hAnsi="Arial" w:cs="Arial"/>
        </w:rPr>
        <w:t>icios, y en general</w:t>
      </w:r>
      <w:r w:rsidRPr="00351A41">
        <w:rPr>
          <w:rFonts w:ascii="Arial" w:hAnsi="Arial" w:cs="Arial"/>
        </w:rPr>
        <w:t xml:space="preserve"> por la buena calidad del bien adjudicado.</w:t>
      </w:r>
    </w:p>
    <w:p w14:paraId="6F76FD93" w14:textId="77777777" w:rsidR="00351A41" w:rsidRPr="00351A41" w:rsidRDefault="00351A41" w:rsidP="00351A41">
      <w:pPr>
        <w:pStyle w:val="Prrafodelista"/>
        <w:numPr>
          <w:ilvl w:val="0"/>
          <w:numId w:val="4"/>
        </w:numPr>
        <w:spacing w:before="40" w:after="160" w:line="288" w:lineRule="auto"/>
        <w:jc w:val="both"/>
        <w:rPr>
          <w:rFonts w:ascii="Arial" w:hAnsi="Arial" w:cs="Arial"/>
        </w:rPr>
      </w:pPr>
      <w:r w:rsidRPr="00351A41">
        <w:rPr>
          <w:rFonts w:ascii="Arial" w:hAnsi="Arial" w:cs="Arial"/>
        </w:rPr>
        <w:t>El licitante deberá entregar carta de ser distribuidor autorizado.</w:t>
      </w:r>
    </w:p>
    <w:p w14:paraId="21C397A8" w14:textId="43961380" w:rsidR="00351A41" w:rsidRPr="00351A41" w:rsidRDefault="00351A41" w:rsidP="00351A41">
      <w:pPr>
        <w:pStyle w:val="Prrafodelista"/>
        <w:numPr>
          <w:ilvl w:val="0"/>
          <w:numId w:val="4"/>
        </w:numPr>
        <w:spacing w:before="40" w:after="160" w:line="288" w:lineRule="auto"/>
        <w:jc w:val="both"/>
        <w:rPr>
          <w:rFonts w:ascii="Arial" w:eastAsia="Arial" w:hAnsi="Arial" w:cs="Arial"/>
          <w:color w:val="000000"/>
        </w:rPr>
      </w:pPr>
      <w:r w:rsidRPr="00351A41">
        <w:rPr>
          <w:rFonts w:ascii="Arial" w:hAnsi="Arial" w:cs="Arial"/>
        </w:rPr>
        <w:t>Fianza de cumplimiento, según aplique.</w:t>
      </w:r>
    </w:p>
    <w:p w14:paraId="0213E43D" w14:textId="77777777" w:rsidR="007429D0" w:rsidRPr="00804227"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77248846" w14:textId="68F21E37" w:rsidR="002E2CA7" w:rsidRDefault="00286B98" w:rsidP="002E2CA7">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304630">
        <w:rPr>
          <w:rFonts w:ascii="Arial" w:hAnsi="Arial" w:cs="Arial"/>
          <w:b/>
          <w:bCs/>
        </w:rPr>
        <w:t>Forma de pago:</w:t>
      </w:r>
    </w:p>
    <w:p w14:paraId="2B7E07DD" w14:textId="0D40C09E" w:rsidR="00351A41" w:rsidRDefault="00351A41" w:rsidP="00351A41">
      <w:pPr>
        <w:pStyle w:val="Prrafodelista"/>
        <w:widowControl w:val="0"/>
        <w:autoSpaceDE w:val="0"/>
        <w:autoSpaceDN w:val="0"/>
        <w:adjustRightInd w:val="0"/>
        <w:spacing w:after="240" w:line="228" w:lineRule="exact"/>
        <w:ind w:left="825" w:right="-20"/>
        <w:jc w:val="both"/>
        <w:rPr>
          <w:rFonts w:ascii="Arial" w:hAnsi="Arial" w:cs="Arial"/>
          <w:b/>
          <w:bCs/>
        </w:rPr>
      </w:pPr>
    </w:p>
    <w:p w14:paraId="082A3542" w14:textId="13D518AD" w:rsidR="00351A41" w:rsidRPr="00351A41" w:rsidRDefault="00351A41" w:rsidP="00351A41">
      <w:pPr>
        <w:pStyle w:val="Prrafodelista"/>
        <w:widowControl w:val="0"/>
        <w:autoSpaceDE w:val="0"/>
        <w:autoSpaceDN w:val="0"/>
        <w:adjustRightInd w:val="0"/>
        <w:spacing w:after="240" w:line="276" w:lineRule="auto"/>
        <w:ind w:right="-20"/>
        <w:jc w:val="both"/>
        <w:rPr>
          <w:rFonts w:ascii="Arial" w:hAnsi="Arial" w:cs="Arial"/>
          <w:bCs/>
        </w:rPr>
      </w:pPr>
      <w:r w:rsidRPr="00F1215F">
        <w:rPr>
          <w:rFonts w:ascii="Arial" w:hAnsi="Arial" w:cs="Arial"/>
          <w:color w:val="000000"/>
          <w:lang w:eastAsia="es-MX"/>
        </w:rPr>
        <w:t xml:space="preserve">En una sola exhibición, por medio de transferencia electrónica posterior a la entrega del servicio y/o producto a entera satisfacción de la Auditoría Superior del Estado de Jalisco. Impactando la partida presupuestal </w:t>
      </w:r>
      <w:r w:rsidRPr="00F1215F">
        <w:rPr>
          <w:rFonts w:ascii="Arial" w:hAnsi="Arial" w:cs="Arial"/>
          <w:b/>
          <w:color w:val="000000"/>
          <w:lang w:eastAsia="es-MX"/>
        </w:rPr>
        <w:t xml:space="preserve">5151 </w:t>
      </w:r>
      <w:r w:rsidRPr="00F1215F">
        <w:rPr>
          <w:rFonts w:ascii="Arial" w:hAnsi="Arial" w:cs="Arial"/>
          <w:color w:val="000000"/>
          <w:lang w:eastAsia="es-MX"/>
        </w:rPr>
        <w:t>Equipo de cómputo y de tecnología de la información</w:t>
      </w:r>
    </w:p>
    <w:p w14:paraId="22BF797C" w14:textId="77777777" w:rsidR="002E2CA7" w:rsidRPr="002E2CA7" w:rsidRDefault="002E2CA7" w:rsidP="002E2CA7">
      <w:pPr>
        <w:pStyle w:val="Prrafodelista"/>
        <w:widowControl w:val="0"/>
        <w:autoSpaceDE w:val="0"/>
        <w:autoSpaceDN w:val="0"/>
        <w:adjustRightInd w:val="0"/>
        <w:spacing w:after="240" w:line="228" w:lineRule="exact"/>
        <w:ind w:left="825" w:right="-20"/>
        <w:jc w:val="both"/>
        <w:rPr>
          <w:rFonts w:ascii="Arial" w:hAnsi="Arial" w:cs="Arial"/>
          <w:b/>
          <w:bCs/>
        </w:rPr>
      </w:pPr>
    </w:p>
    <w:p w14:paraId="44EAC2A1" w14:textId="19CE6DAC" w:rsidR="00351A41" w:rsidRDefault="00286B98" w:rsidP="00351A4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804227">
        <w:rPr>
          <w:rFonts w:ascii="Arial" w:hAnsi="Arial" w:cs="Arial"/>
          <w:b/>
          <w:bCs/>
        </w:rPr>
        <w:t>A</w:t>
      </w:r>
      <w:r w:rsidR="002E2CA7">
        <w:rPr>
          <w:rFonts w:ascii="Arial" w:hAnsi="Arial" w:cs="Arial"/>
          <w:b/>
          <w:bCs/>
        </w:rPr>
        <w:t>nticipo:</w:t>
      </w:r>
    </w:p>
    <w:p w14:paraId="1F520E51" w14:textId="5AEDD88E" w:rsidR="00351A41" w:rsidRDefault="00351A41" w:rsidP="00351A41">
      <w:pPr>
        <w:pStyle w:val="Prrafodelista"/>
        <w:widowControl w:val="0"/>
        <w:autoSpaceDE w:val="0"/>
        <w:autoSpaceDN w:val="0"/>
        <w:adjustRightInd w:val="0"/>
        <w:spacing w:after="240" w:line="228" w:lineRule="exact"/>
        <w:ind w:left="825" w:right="-20"/>
        <w:jc w:val="both"/>
        <w:rPr>
          <w:rFonts w:ascii="Arial" w:hAnsi="Arial" w:cs="Arial"/>
          <w:b/>
          <w:bCs/>
        </w:rPr>
      </w:pPr>
    </w:p>
    <w:p w14:paraId="007BBB1A" w14:textId="05299EE8" w:rsidR="00351A41" w:rsidRPr="00351A41" w:rsidRDefault="00351A41" w:rsidP="00351A41">
      <w:pPr>
        <w:pStyle w:val="Prrafodelista"/>
        <w:widowControl w:val="0"/>
        <w:autoSpaceDE w:val="0"/>
        <w:autoSpaceDN w:val="0"/>
        <w:adjustRightInd w:val="0"/>
        <w:spacing w:after="240" w:line="228" w:lineRule="exact"/>
        <w:ind w:right="-20"/>
        <w:jc w:val="both"/>
        <w:rPr>
          <w:rFonts w:ascii="Arial" w:hAnsi="Arial" w:cs="Arial"/>
          <w:bCs/>
        </w:rPr>
      </w:pPr>
      <w:r>
        <w:rPr>
          <w:rFonts w:ascii="Arial" w:hAnsi="Arial" w:cs="Arial"/>
          <w:bCs/>
        </w:rPr>
        <w:t>Sin anticipo</w:t>
      </w:r>
    </w:p>
    <w:p w14:paraId="6AFDE901" w14:textId="77777777" w:rsidR="002E2CA7" w:rsidRPr="002E2CA7" w:rsidRDefault="002E2CA7" w:rsidP="002E2CA7">
      <w:pPr>
        <w:pStyle w:val="Prrafodelista"/>
        <w:widowControl w:val="0"/>
        <w:autoSpaceDE w:val="0"/>
        <w:autoSpaceDN w:val="0"/>
        <w:adjustRightInd w:val="0"/>
        <w:spacing w:after="240" w:line="228" w:lineRule="exact"/>
        <w:ind w:left="825" w:right="-20"/>
        <w:jc w:val="both"/>
        <w:rPr>
          <w:rFonts w:ascii="Arial" w:hAnsi="Arial" w:cs="Arial"/>
          <w:b/>
          <w:bCs/>
        </w:rPr>
      </w:pPr>
    </w:p>
    <w:p w14:paraId="3A5BC866" w14:textId="1CCCE7A7" w:rsidR="00351A41" w:rsidRPr="00351A41" w:rsidRDefault="00286B98" w:rsidP="00351A4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804227">
        <w:rPr>
          <w:rFonts w:ascii="Arial" w:hAnsi="Arial" w:cs="Arial"/>
          <w:b/>
          <w:bCs/>
        </w:rPr>
        <w:t>Vigencia de precios:</w:t>
      </w:r>
    </w:p>
    <w:p w14:paraId="46B8D109" w14:textId="1AE2660E" w:rsidR="00351A41" w:rsidRPr="00304630" w:rsidRDefault="00351A41" w:rsidP="00351A41">
      <w:pPr>
        <w:widowControl w:val="0"/>
        <w:autoSpaceDE w:val="0"/>
        <w:autoSpaceDN w:val="0"/>
        <w:adjustRightInd w:val="0"/>
        <w:spacing w:after="240" w:line="228" w:lineRule="exact"/>
        <w:ind w:left="708" w:right="-20"/>
        <w:jc w:val="both"/>
        <w:rPr>
          <w:rFonts w:ascii="Arial" w:hAnsi="Arial" w:cs="Arial"/>
          <w:bCs/>
        </w:rPr>
      </w:pPr>
      <w:r w:rsidRPr="00304630">
        <w:rPr>
          <w:rFonts w:ascii="Arial" w:hAnsi="Arial" w:cs="Arial"/>
          <w:bCs/>
        </w:rPr>
        <w:t xml:space="preserve">Según lo establecido </w:t>
      </w:r>
      <w:r>
        <w:rPr>
          <w:rFonts w:ascii="Arial" w:hAnsi="Arial" w:cs="Arial"/>
          <w:bCs/>
        </w:rPr>
        <w:t>en las bases de la convocatoria.</w:t>
      </w:r>
    </w:p>
    <w:p w14:paraId="3E8B2A1D" w14:textId="77777777" w:rsidR="00351A41" w:rsidRPr="002E2CA7" w:rsidRDefault="00351A41" w:rsidP="00351A41">
      <w:pPr>
        <w:pStyle w:val="Prrafodelista"/>
        <w:widowControl w:val="0"/>
        <w:autoSpaceDE w:val="0"/>
        <w:autoSpaceDN w:val="0"/>
        <w:adjustRightInd w:val="0"/>
        <w:spacing w:after="240" w:line="228" w:lineRule="exact"/>
        <w:ind w:left="825" w:right="-20"/>
        <w:jc w:val="both"/>
        <w:rPr>
          <w:rFonts w:ascii="Arial" w:hAnsi="Arial" w:cs="Arial"/>
          <w:b/>
          <w:bCs/>
        </w:rPr>
      </w:pPr>
    </w:p>
    <w:p w14:paraId="42CA6BD4" w14:textId="77777777" w:rsidR="002E2CA7" w:rsidRPr="00304630" w:rsidRDefault="002E2CA7" w:rsidP="002E2CA7">
      <w:pPr>
        <w:pStyle w:val="Prrafodelista"/>
        <w:widowControl w:val="0"/>
        <w:autoSpaceDE w:val="0"/>
        <w:autoSpaceDN w:val="0"/>
        <w:adjustRightInd w:val="0"/>
        <w:spacing w:after="240" w:line="228" w:lineRule="exact"/>
        <w:ind w:left="825" w:right="-20"/>
        <w:jc w:val="both"/>
        <w:rPr>
          <w:rFonts w:ascii="Arial" w:hAnsi="Arial" w:cs="Arial"/>
          <w:b/>
          <w:bCs/>
        </w:rPr>
      </w:pPr>
    </w:p>
    <w:p w14:paraId="0DE686F1" w14:textId="6BBB130B" w:rsidR="002E2CA7" w:rsidRDefault="00286B98" w:rsidP="002E2CA7">
      <w:pPr>
        <w:pStyle w:val="Prrafodelista"/>
        <w:widowControl w:val="0"/>
        <w:numPr>
          <w:ilvl w:val="0"/>
          <w:numId w:val="1"/>
        </w:numPr>
        <w:autoSpaceDE w:val="0"/>
        <w:autoSpaceDN w:val="0"/>
        <w:adjustRightInd w:val="0"/>
        <w:spacing w:after="240" w:line="228" w:lineRule="exact"/>
        <w:ind w:right="-20"/>
        <w:jc w:val="both"/>
        <w:rPr>
          <w:rFonts w:ascii="Arial" w:hAnsi="Arial" w:cs="Arial"/>
          <w:bCs/>
        </w:rPr>
      </w:pPr>
      <w:r w:rsidRPr="00804227">
        <w:rPr>
          <w:rFonts w:ascii="Arial" w:hAnsi="Arial" w:cs="Arial"/>
          <w:b/>
          <w:bCs/>
        </w:rPr>
        <w:lastRenderedPageBreak/>
        <w:t>Normas:</w:t>
      </w:r>
      <w:r w:rsidR="00351A41">
        <w:rPr>
          <w:rFonts w:ascii="Arial" w:hAnsi="Arial" w:cs="Arial"/>
          <w:b/>
          <w:bCs/>
        </w:rPr>
        <w:t xml:space="preserve"> </w:t>
      </w:r>
    </w:p>
    <w:p w14:paraId="02D66C02" w14:textId="2B254238" w:rsidR="00351A41" w:rsidRDefault="00351A41" w:rsidP="00351A41">
      <w:pPr>
        <w:pStyle w:val="Prrafodelista"/>
        <w:widowControl w:val="0"/>
        <w:autoSpaceDE w:val="0"/>
        <w:autoSpaceDN w:val="0"/>
        <w:adjustRightInd w:val="0"/>
        <w:spacing w:after="240" w:line="228" w:lineRule="exact"/>
        <w:ind w:right="-20"/>
        <w:jc w:val="both"/>
        <w:rPr>
          <w:rFonts w:ascii="Arial" w:hAnsi="Arial" w:cs="Arial"/>
          <w:bCs/>
        </w:rPr>
      </w:pPr>
    </w:p>
    <w:p w14:paraId="4F6A3602" w14:textId="1F7588FF" w:rsidR="00351A41" w:rsidRPr="00351A41" w:rsidRDefault="00351A41" w:rsidP="00351A41">
      <w:pPr>
        <w:pStyle w:val="Prrafodelista"/>
        <w:widowControl w:val="0"/>
        <w:autoSpaceDE w:val="0"/>
        <w:autoSpaceDN w:val="0"/>
        <w:adjustRightInd w:val="0"/>
        <w:spacing w:after="240" w:line="228" w:lineRule="exact"/>
        <w:ind w:right="-20"/>
        <w:jc w:val="both"/>
        <w:rPr>
          <w:rFonts w:ascii="Arial" w:hAnsi="Arial" w:cs="Arial"/>
          <w:bCs/>
        </w:rPr>
      </w:pPr>
      <w:r>
        <w:rPr>
          <w:rFonts w:ascii="Arial" w:hAnsi="Arial" w:cs="Arial"/>
          <w:bCs/>
        </w:rPr>
        <w:t>No aplica.</w:t>
      </w:r>
    </w:p>
    <w:sectPr w:rsidR="00351A41" w:rsidRPr="00351A41" w:rsidSect="00351A41">
      <w:footerReference w:type="default" r:id="rId8"/>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018D" w14:textId="77777777" w:rsidR="00F65AEE" w:rsidRDefault="00F65AEE" w:rsidP="00F65AEE">
      <w:r>
        <w:separator/>
      </w:r>
    </w:p>
  </w:endnote>
  <w:endnote w:type="continuationSeparator" w:id="0">
    <w:p w14:paraId="7041E2E5" w14:textId="77777777" w:rsidR="00F65AEE" w:rsidRDefault="00F65AEE" w:rsidP="00F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9191" w14:textId="57863FB5" w:rsidR="00F65AEE" w:rsidRPr="00F65AEE" w:rsidRDefault="00997AB2">
    <w:pPr>
      <w:pStyle w:val="Piedepgina"/>
      <w:jc w:val="center"/>
      <w:rPr>
        <w:rFonts w:ascii="Arial" w:hAnsi="Arial" w:cs="Arial"/>
        <w:sz w:val="20"/>
      </w:rPr>
    </w:pPr>
    <w:sdt>
      <w:sdtPr>
        <w:rPr>
          <w:rFonts w:ascii="Arial" w:hAnsi="Arial" w:cs="Arial"/>
          <w:sz w:val="20"/>
        </w:rPr>
        <w:id w:val="-1063715956"/>
        <w:docPartObj>
          <w:docPartGallery w:val="Page Numbers (Bottom of Page)"/>
          <w:docPartUnique/>
        </w:docPartObj>
      </w:sdtPr>
      <w:sdtEndPr/>
      <w:sdtContent>
        <w:r w:rsidR="00F65AEE" w:rsidRPr="00F65AEE">
          <w:rPr>
            <w:rFonts w:ascii="Arial" w:hAnsi="Arial" w:cs="Arial"/>
            <w:sz w:val="20"/>
          </w:rPr>
          <w:t>P</w:t>
        </w:r>
        <w:r w:rsidR="00F65AEE">
          <w:rPr>
            <w:rFonts w:ascii="Arial" w:hAnsi="Arial" w:cs="Arial"/>
            <w:sz w:val="20"/>
          </w:rPr>
          <w:t>ágina</w:t>
        </w:r>
        <w:r w:rsidR="00F65AEE" w:rsidRPr="00F65AEE">
          <w:rPr>
            <w:rFonts w:ascii="Arial" w:hAnsi="Arial" w:cs="Arial"/>
            <w:sz w:val="20"/>
          </w:rPr>
          <w:t xml:space="preserve"> </w:t>
        </w:r>
        <w:r w:rsidR="00F65AEE" w:rsidRPr="00F65AEE">
          <w:rPr>
            <w:rFonts w:ascii="Arial" w:hAnsi="Arial" w:cs="Arial"/>
            <w:sz w:val="20"/>
          </w:rPr>
          <w:fldChar w:fldCharType="begin"/>
        </w:r>
        <w:r w:rsidR="00F65AEE" w:rsidRPr="00F65AEE">
          <w:rPr>
            <w:rFonts w:ascii="Arial" w:hAnsi="Arial" w:cs="Arial"/>
            <w:sz w:val="20"/>
          </w:rPr>
          <w:instrText>PAGE   \* MERGEFORMAT</w:instrText>
        </w:r>
        <w:r w:rsidR="00F65AEE" w:rsidRPr="00F65AEE">
          <w:rPr>
            <w:rFonts w:ascii="Arial" w:hAnsi="Arial" w:cs="Arial"/>
            <w:sz w:val="20"/>
          </w:rPr>
          <w:fldChar w:fldCharType="separate"/>
        </w:r>
        <w:r>
          <w:rPr>
            <w:rFonts w:ascii="Arial" w:hAnsi="Arial" w:cs="Arial"/>
            <w:noProof/>
            <w:sz w:val="20"/>
          </w:rPr>
          <w:t>2</w:t>
        </w:r>
        <w:r w:rsidR="00F65AEE" w:rsidRPr="00F65AEE">
          <w:rPr>
            <w:rFonts w:ascii="Arial" w:hAnsi="Arial" w:cs="Arial"/>
            <w:sz w:val="20"/>
          </w:rPr>
          <w:fldChar w:fldCharType="end"/>
        </w:r>
      </w:sdtContent>
    </w:sdt>
    <w:r w:rsidR="00C87D75">
      <w:rPr>
        <w:rFonts w:ascii="Arial" w:hAnsi="Arial" w:cs="Arial"/>
        <w:sz w:val="20"/>
      </w:rPr>
      <w:t xml:space="preserve"> de </w:t>
    </w:r>
    <w:r w:rsidR="00351A41">
      <w:rPr>
        <w:rFonts w:ascii="Arial" w:hAnsi="Arial" w:cs="Arial"/>
        <w:sz w:val="20"/>
      </w:rPr>
      <w:t>3</w:t>
    </w:r>
  </w:p>
  <w:p w14:paraId="11E5B7AB" w14:textId="1191EE9C" w:rsidR="00F65AEE" w:rsidRPr="00F65AEE" w:rsidRDefault="00F65AEE" w:rsidP="00F65AEE">
    <w:pPr>
      <w:pStyle w:val="Piedepgina"/>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28B9F" w14:textId="77777777" w:rsidR="00F65AEE" w:rsidRDefault="00F65AEE" w:rsidP="00F65AEE">
      <w:r>
        <w:separator/>
      </w:r>
    </w:p>
  </w:footnote>
  <w:footnote w:type="continuationSeparator" w:id="0">
    <w:p w14:paraId="1D096046" w14:textId="77777777" w:rsidR="00F65AEE" w:rsidRDefault="00F65AEE" w:rsidP="00F65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A3A"/>
    <w:multiLevelType w:val="hybridMultilevel"/>
    <w:tmpl w:val="CAD6FBC8"/>
    <w:lvl w:ilvl="0" w:tplc="89F884FA">
      <w:start w:val="1"/>
      <w:numFmt w:val="lowerLetter"/>
      <w:lvlText w:val="%1)"/>
      <w:lvlJc w:val="left"/>
      <w:pPr>
        <w:ind w:left="1068" w:hanging="360"/>
      </w:pPr>
      <w:rPr>
        <w:rFonts w:hint="default"/>
      </w:rPr>
    </w:lvl>
    <w:lvl w:ilvl="1" w:tplc="080A0019" w:tentative="1">
      <w:start w:val="1"/>
      <w:numFmt w:val="lowerLetter"/>
      <w:lvlText w:val="%2."/>
      <w:lvlJc w:val="left"/>
      <w:pPr>
        <w:ind w:left="1323" w:hanging="360"/>
      </w:pPr>
    </w:lvl>
    <w:lvl w:ilvl="2" w:tplc="080A001B" w:tentative="1">
      <w:start w:val="1"/>
      <w:numFmt w:val="lowerRoman"/>
      <w:lvlText w:val="%3."/>
      <w:lvlJc w:val="right"/>
      <w:pPr>
        <w:ind w:left="2043" w:hanging="180"/>
      </w:pPr>
    </w:lvl>
    <w:lvl w:ilvl="3" w:tplc="080A000F" w:tentative="1">
      <w:start w:val="1"/>
      <w:numFmt w:val="decimal"/>
      <w:lvlText w:val="%4."/>
      <w:lvlJc w:val="left"/>
      <w:pPr>
        <w:ind w:left="2763" w:hanging="360"/>
      </w:pPr>
    </w:lvl>
    <w:lvl w:ilvl="4" w:tplc="080A0019" w:tentative="1">
      <w:start w:val="1"/>
      <w:numFmt w:val="lowerLetter"/>
      <w:lvlText w:val="%5."/>
      <w:lvlJc w:val="left"/>
      <w:pPr>
        <w:ind w:left="3483" w:hanging="360"/>
      </w:pPr>
    </w:lvl>
    <w:lvl w:ilvl="5" w:tplc="080A001B" w:tentative="1">
      <w:start w:val="1"/>
      <w:numFmt w:val="lowerRoman"/>
      <w:lvlText w:val="%6."/>
      <w:lvlJc w:val="right"/>
      <w:pPr>
        <w:ind w:left="4203" w:hanging="180"/>
      </w:pPr>
    </w:lvl>
    <w:lvl w:ilvl="6" w:tplc="080A000F" w:tentative="1">
      <w:start w:val="1"/>
      <w:numFmt w:val="decimal"/>
      <w:lvlText w:val="%7."/>
      <w:lvlJc w:val="left"/>
      <w:pPr>
        <w:ind w:left="4923" w:hanging="360"/>
      </w:pPr>
    </w:lvl>
    <w:lvl w:ilvl="7" w:tplc="080A0019" w:tentative="1">
      <w:start w:val="1"/>
      <w:numFmt w:val="lowerLetter"/>
      <w:lvlText w:val="%8."/>
      <w:lvlJc w:val="left"/>
      <w:pPr>
        <w:ind w:left="5643" w:hanging="360"/>
      </w:pPr>
    </w:lvl>
    <w:lvl w:ilvl="8" w:tplc="080A001B" w:tentative="1">
      <w:start w:val="1"/>
      <w:numFmt w:val="lowerRoman"/>
      <w:lvlText w:val="%9."/>
      <w:lvlJc w:val="right"/>
      <w:pPr>
        <w:ind w:left="6363" w:hanging="180"/>
      </w:pPr>
    </w:lvl>
  </w:abstractNum>
  <w:abstractNum w:abstractNumId="1" w15:restartNumberingAfterBreak="0">
    <w:nsid w:val="26AB1550"/>
    <w:multiLevelType w:val="hybridMultilevel"/>
    <w:tmpl w:val="A4E6947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FA20FEF"/>
    <w:multiLevelType w:val="hybridMultilevel"/>
    <w:tmpl w:val="19CE3696"/>
    <w:lvl w:ilvl="0" w:tplc="4BDA3C1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73B102C"/>
    <w:multiLevelType w:val="hybridMultilevel"/>
    <w:tmpl w:val="0F8E29F0"/>
    <w:lvl w:ilvl="0" w:tplc="40D232D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66AED"/>
    <w:rsid w:val="000C7C0E"/>
    <w:rsid w:val="001A7F05"/>
    <w:rsid w:val="00286B98"/>
    <w:rsid w:val="002E2CA7"/>
    <w:rsid w:val="00304630"/>
    <w:rsid w:val="00351A41"/>
    <w:rsid w:val="00364F75"/>
    <w:rsid w:val="00367F82"/>
    <w:rsid w:val="00380930"/>
    <w:rsid w:val="003B04EA"/>
    <w:rsid w:val="00426C26"/>
    <w:rsid w:val="00427898"/>
    <w:rsid w:val="004A1AE8"/>
    <w:rsid w:val="004F5E9D"/>
    <w:rsid w:val="00527BC6"/>
    <w:rsid w:val="005532DD"/>
    <w:rsid w:val="005F305F"/>
    <w:rsid w:val="005F4BAE"/>
    <w:rsid w:val="006566C1"/>
    <w:rsid w:val="007318BE"/>
    <w:rsid w:val="007429D0"/>
    <w:rsid w:val="007452D0"/>
    <w:rsid w:val="00745A16"/>
    <w:rsid w:val="00786D87"/>
    <w:rsid w:val="007B0241"/>
    <w:rsid w:val="007C57E8"/>
    <w:rsid w:val="00801AED"/>
    <w:rsid w:val="00804227"/>
    <w:rsid w:val="008172CF"/>
    <w:rsid w:val="00824540"/>
    <w:rsid w:val="008269C2"/>
    <w:rsid w:val="008A1F31"/>
    <w:rsid w:val="00997AB2"/>
    <w:rsid w:val="009E4DF3"/>
    <w:rsid w:val="00A31A59"/>
    <w:rsid w:val="00A36E01"/>
    <w:rsid w:val="00AE079C"/>
    <w:rsid w:val="00AE1B18"/>
    <w:rsid w:val="00BF51CE"/>
    <w:rsid w:val="00BF70EF"/>
    <w:rsid w:val="00C26F7F"/>
    <w:rsid w:val="00C276AB"/>
    <w:rsid w:val="00C277C1"/>
    <w:rsid w:val="00C333E4"/>
    <w:rsid w:val="00C87D75"/>
    <w:rsid w:val="00C9657E"/>
    <w:rsid w:val="00CD5F89"/>
    <w:rsid w:val="00D0297B"/>
    <w:rsid w:val="00D24272"/>
    <w:rsid w:val="00D84CFD"/>
    <w:rsid w:val="00DD5545"/>
    <w:rsid w:val="00DE66AD"/>
    <w:rsid w:val="00E520A4"/>
    <w:rsid w:val="00E67E0F"/>
    <w:rsid w:val="00E80441"/>
    <w:rsid w:val="00EB752C"/>
    <w:rsid w:val="00ED12D2"/>
    <w:rsid w:val="00F65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concuadrcula">
    <w:name w:val="Table Grid"/>
    <w:basedOn w:val="Tablanormal"/>
    <w:uiPriority w:val="39"/>
    <w:rsid w:val="00BF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04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F65AEE"/>
    <w:pPr>
      <w:tabs>
        <w:tab w:val="center" w:pos="4419"/>
        <w:tab w:val="right" w:pos="8838"/>
      </w:tabs>
    </w:pPr>
  </w:style>
  <w:style w:type="character" w:customStyle="1" w:styleId="EncabezadoCar">
    <w:name w:val="Encabezado Car"/>
    <w:basedOn w:val="Fuentedeprrafopredeter"/>
    <w:link w:val="Encabezado"/>
    <w:uiPriority w:val="99"/>
    <w:rsid w:val="00F65A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5AEE"/>
    <w:pPr>
      <w:tabs>
        <w:tab w:val="center" w:pos="4419"/>
        <w:tab w:val="right" w:pos="8838"/>
      </w:tabs>
    </w:pPr>
  </w:style>
  <w:style w:type="character" w:customStyle="1" w:styleId="PiedepginaCar">
    <w:name w:val="Pie de página Car"/>
    <w:basedOn w:val="Fuentedeprrafopredeter"/>
    <w:link w:val="Piedepgina"/>
    <w:uiPriority w:val="99"/>
    <w:rsid w:val="00F65AEE"/>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351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7027">
      <w:bodyDiv w:val="1"/>
      <w:marLeft w:val="0"/>
      <w:marRight w:val="0"/>
      <w:marTop w:val="0"/>
      <w:marBottom w:val="0"/>
      <w:divBdr>
        <w:top w:val="none" w:sz="0" w:space="0" w:color="auto"/>
        <w:left w:val="none" w:sz="0" w:space="0" w:color="auto"/>
        <w:bottom w:val="none" w:sz="0" w:space="0" w:color="auto"/>
        <w:right w:val="none" w:sz="0" w:space="0" w:color="auto"/>
      </w:divBdr>
      <w:divsChild>
        <w:div w:id="115371633">
          <w:marLeft w:val="0"/>
          <w:marRight w:val="0"/>
          <w:marTop w:val="0"/>
          <w:marBottom w:val="0"/>
          <w:divBdr>
            <w:top w:val="none" w:sz="0" w:space="0" w:color="auto"/>
            <w:left w:val="none" w:sz="0" w:space="0" w:color="auto"/>
            <w:bottom w:val="none" w:sz="0" w:space="0" w:color="auto"/>
            <w:right w:val="none" w:sz="0" w:space="0" w:color="auto"/>
          </w:divBdr>
        </w:div>
      </w:divsChild>
    </w:div>
    <w:div w:id="1340154241">
      <w:bodyDiv w:val="1"/>
      <w:marLeft w:val="0"/>
      <w:marRight w:val="0"/>
      <w:marTop w:val="0"/>
      <w:marBottom w:val="0"/>
      <w:divBdr>
        <w:top w:val="none" w:sz="0" w:space="0" w:color="auto"/>
        <w:left w:val="none" w:sz="0" w:space="0" w:color="auto"/>
        <w:bottom w:val="none" w:sz="0" w:space="0" w:color="auto"/>
        <w:right w:val="none" w:sz="0" w:space="0" w:color="auto"/>
      </w:divBdr>
      <w:divsChild>
        <w:div w:id="199695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DD8A-6B5B-4A0F-A613-C9EB0E4F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21</cp:revision>
  <dcterms:created xsi:type="dcterms:W3CDTF">2023-05-26T19:40:00Z</dcterms:created>
  <dcterms:modified xsi:type="dcterms:W3CDTF">2024-04-15T17:45:00Z</dcterms:modified>
</cp:coreProperties>
</file>