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4248" w14:textId="77777777" w:rsidR="001353CE" w:rsidRDefault="001353CE" w:rsidP="00E87FCF">
      <w:pPr>
        <w:jc w:val="both"/>
        <w:rPr>
          <w:rFonts w:ascii="Arial" w:hAnsi="Arial" w:cs="Arial"/>
          <w:sz w:val="24"/>
          <w:szCs w:val="24"/>
        </w:rPr>
      </w:pPr>
    </w:p>
    <w:p w14:paraId="14E28E16" w14:textId="5E0FFBC3"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6DA2CE9" w:rsidR="00E87FCF" w:rsidRPr="00743E28" w:rsidRDefault="00061BB1" w:rsidP="00C36A1D">
            <w:pPr>
              <w:rPr>
                <w:rFonts w:ascii="Arial" w:hAnsi="Arial" w:cs="Arial"/>
                <w:sz w:val="20"/>
                <w:szCs w:val="20"/>
              </w:rPr>
            </w:pPr>
            <w:r w:rsidRPr="00743E28">
              <w:rPr>
                <w:rFonts w:ascii="Arial" w:hAnsi="Arial" w:cs="Arial"/>
                <w:sz w:val="20"/>
                <w:szCs w:val="20"/>
              </w:rPr>
              <w:t>LP-</w:t>
            </w:r>
            <w:r w:rsidR="00B339CC">
              <w:rPr>
                <w:rFonts w:ascii="Arial" w:hAnsi="Arial" w:cs="Arial"/>
                <w:sz w:val="20"/>
                <w:szCs w:val="20"/>
              </w:rPr>
              <w:t>CC-001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1235C7B8" w:rsidR="00E87FCF" w:rsidRPr="00743E28" w:rsidRDefault="00B339CC" w:rsidP="00D73BA5">
            <w:pPr>
              <w:rPr>
                <w:rFonts w:ascii="Arial" w:hAnsi="Arial" w:cs="Arial"/>
                <w:sz w:val="20"/>
                <w:szCs w:val="20"/>
              </w:rPr>
            </w:pPr>
            <w:r>
              <w:rPr>
                <w:rFonts w:ascii="Arial" w:hAnsi="Arial" w:cs="Arial"/>
                <w:sz w:val="20"/>
                <w:szCs w:val="20"/>
              </w:rPr>
              <w:t>Local con</w:t>
            </w:r>
            <w:r w:rsidR="00D73BA5">
              <w:rPr>
                <w:rFonts w:ascii="Arial" w:hAnsi="Arial" w:cs="Arial"/>
                <w:sz w:val="20"/>
                <w:szCs w:val="20"/>
              </w:rPr>
              <w:t xml:space="preserve">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782DAE1" w:rsidR="00E87FCF" w:rsidRPr="00C36A1D" w:rsidRDefault="00561588" w:rsidP="00B332FD">
            <w:pPr>
              <w:rPr>
                <w:rFonts w:ascii="Arial" w:hAnsi="Arial" w:cs="Arial"/>
                <w:sz w:val="20"/>
                <w:szCs w:val="20"/>
              </w:rPr>
            </w:pPr>
            <w:r>
              <w:rPr>
                <w:rFonts w:ascii="Arial" w:hAnsi="Arial" w:cs="Arial"/>
                <w:sz w:val="20"/>
                <w:szCs w:val="20"/>
              </w:rPr>
              <w:t xml:space="preserve">Adquisición de </w:t>
            </w:r>
            <w:r w:rsidR="00B332FD">
              <w:rPr>
                <w:rFonts w:ascii="Arial" w:hAnsi="Arial" w:cs="Arial"/>
                <w:sz w:val="20"/>
                <w:szCs w:val="20"/>
              </w:rPr>
              <w:t>Equipos de Cómputo</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2F8871C2" w:rsidR="00B339CC" w:rsidRPr="0026291C" w:rsidRDefault="00B339CC" w:rsidP="00F9166E">
            <w:pPr>
              <w:rPr>
                <w:rFonts w:ascii="Arial" w:hAnsi="Arial" w:cs="Arial"/>
                <w:sz w:val="20"/>
                <w:szCs w:val="20"/>
              </w:rPr>
            </w:pPr>
            <w:r>
              <w:rPr>
                <w:rFonts w:ascii="Arial" w:hAnsi="Arial" w:cs="Arial"/>
                <w:sz w:val="20"/>
                <w:szCs w:val="20"/>
              </w:rPr>
              <w:t>Secretaría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3A826B51" w:rsidR="005672D9" w:rsidRPr="00F93013" w:rsidRDefault="00EB2361" w:rsidP="00B339CC">
            <w:pPr>
              <w:rPr>
                <w:rFonts w:ascii="Arial" w:hAnsi="Arial" w:cs="Arial"/>
                <w:sz w:val="20"/>
                <w:szCs w:val="20"/>
              </w:rPr>
            </w:pPr>
            <w:r w:rsidRPr="00F93013">
              <w:rPr>
                <w:rFonts w:ascii="Arial" w:hAnsi="Arial" w:cs="Arial"/>
                <w:sz w:val="20"/>
                <w:szCs w:val="20"/>
              </w:rPr>
              <w:t>$</w:t>
            </w:r>
            <w:r w:rsidR="00E66180">
              <w:rPr>
                <w:rFonts w:ascii="Arial" w:hAnsi="Arial" w:cs="Arial"/>
                <w:sz w:val="20"/>
                <w:szCs w:val="20"/>
              </w:rPr>
              <w:t>4´</w:t>
            </w:r>
            <w:r w:rsidR="00B339CC">
              <w:rPr>
                <w:rFonts w:ascii="Arial" w:hAnsi="Arial" w:cs="Arial"/>
                <w:sz w:val="20"/>
                <w:szCs w:val="20"/>
              </w:rPr>
              <w:t>540,00.</w:t>
            </w:r>
            <w:r w:rsidR="00C432A8">
              <w:rPr>
                <w:rFonts w:ascii="Arial" w:hAnsi="Arial" w:cs="Arial"/>
                <w:sz w:val="20"/>
                <w:szCs w:val="20"/>
              </w:rPr>
              <w:t>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B339CC">
              <w:rPr>
                <w:rFonts w:ascii="Arial" w:hAnsi="Arial" w:cs="Arial"/>
                <w:sz w:val="20"/>
                <w:szCs w:val="20"/>
              </w:rPr>
              <w:t xml:space="preserve">cuatro millones quinientos cuarenta mil pesos 00/100 moneda nacional)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r w:rsidR="00B339CC">
              <w:rPr>
                <w:rFonts w:ascii="Arial" w:hAnsi="Arial" w:cs="Arial"/>
                <w:sz w:val="20"/>
                <w:szCs w:val="20"/>
              </w:rPr>
              <w:t xml:space="preserve"> </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785B44FA" w14:textId="47D232B0" w:rsidR="000C341B" w:rsidRDefault="000C341B" w:rsidP="0080746F">
      <w:pPr>
        <w:rPr>
          <w:rFonts w:ascii="Arial" w:hAnsi="Arial" w:cs="Arial"/>
          <w:b/>
          <w:sz w:val="24"/>
          <w:szCs w:val="24"/>
        </w:rPr>
      </w:pPr>
    </w:p>
    <w:p w14:paraId="65EF7289" w14:textId="77777777" w:rsidR="0009627B" w:rsidRDefault="0009627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1353CE"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1353CE"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1353CE"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1353CE"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1353CE"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1353CE"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1353CE">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1353CE"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1353CE">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1353CE">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1353CE">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1353CE">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1353CE">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1353CE">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1353CE">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1353CE"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1353CE">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1353CE">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1353CE"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1353CE"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1353CE"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1353CE"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1353CE"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1353CE"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1353CE"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1353CE"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1353CE"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1353CE"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1353CE"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1353CE"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1353CE"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1353CE"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1353CE"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1353CE"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1353CE"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1353CE"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1353CE">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1353CE">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1353CE">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1353CE">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1353CE">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1353CE">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1353CE">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1353CE"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1353CE">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1353CE"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1353CE"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1353CE"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1353CE"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1353CE"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1353CE"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1353CE"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1353CE"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1353CE"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1353CE"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bookmarkStart w:id="1" w:name="_GoBack"/>
            <w:r w:rsidRPr="004024CB">
              <w:rPr>
                <w:rFonts w:ascii="Arial" w:hAnsi="Arial" w:cs="Arial"/>
                <w:b/>
                <w:sz w:val="20"/>
                <w:szCs w:val="20"/>
              </w:rPr>
              <w:t>Fianza</w:t>
            </w:r>
            <w:bookmarkEnd w:id="1"/>
            <w:r w:rsidRPr="004024CB">
              <w:rPr>
                <w:rFonts w:ascii="Arial" w:hAnsi="Arial" w:cs="Arial"/>
                <w:b/>
                <w:sz w:val="20"/>
                <w:szCs w:val="20"/>
              </w:rPr>
              <w:t xml:space="preserve">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552"/>
        <w:gridCol w:w="1984"/>
        <w:gridCol w:w="2410"/>
        <w:gridCol w:w="1559"/>
      </w:tblGrid>
      <w:tr w:rsidR="00E87FCF" w:rsidRPr="004024CB" w14:paraId="79372FF2" w14:textId="77777777" w:rsidTr="00F94449">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552"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1984"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9444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552"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1984" w:type="dxa"/>
            <w:shd w:val="clear" w:color="auto" w:fill="auto"/>
            <w:vAlign w:val="center"/>
          </w:tcPr>
          <w:p w14:paraId="20D7F9EF" w14:textId="6DB6BF5B" w:rsidR="00E87FCF" w:rsidRPr="004024CB" w:rsidRDefault="00261C58" w:rsidP="00B339CC">
            <w:pPr>
              <w:jc w:val="both"/>
              <w:rPr>
                <w:rFonts w:ascii="Arial" w:hAnsi="Arial" w:cs="Arial"/>
                <w:sz w:val="20"/>
                <w:szCs w:val="20"/>
              </w:rPr>
            </w:pPr>
            <w:r>
              <w:rPr>
                <w:rFonts w:ascii="Arial" w:hAnsi="Arial" w:cs="Arial"/>
                <w:sz w:val="20"/>
                <w:szCs w:val="20"/>
              </w:rPr>
              <w:t>Viernes 07</w:t>
            </w:r>
            <w:r w:rsidR="004E4940" w:rsidRPr="00BB1A2E">
              <w:rPr>
                <w:rFonts w:ascii="Arial" w:hAnsi="Arial" w:cs="Arial"/>
                <w:sz w:val="20"/>
                <w:szCs w:val="20"/>
              </w:rPr>
              <w:t xml:space="preserve"> de </w:t>
            </w:r>
            <w:r w:rsidR="00B339CC">
              <w:rPr>
                <w:rFonts w:ascii="Arial" w:hAnsi="Arial" w:cs="Arial"/>
                <w:sz w:val="20"/>
                <w:szCs w:val="20"/>
              </w:rPr>
              <w:t>junio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1353CE"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F94449">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552" w:type="dxa"/>
            <w:vAlign w:val="center"/>
          </w:tcPr>
          <w:p w14:paraId="6016E256" w14:textId="7CE6A1D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r w:rsidR="00FC35D2">
              <w:rPr>
                <w:rFonts w:ascii="Arial" w:hAnsi="Arial" w:cs="Arial"/>
                <w:sz w:val="20"/>
                <w:szCs w:val="20"/>
              </w:rPr>
              <w:t>.</w:t>
            </w:r>
          </w:p>
        </w:tc>
        <w:tc>
          <w:tcPr>
            <w:tcW w:w="1984" w:type="dxa"/>
            <w:vAlign w:val="center"/>
          </w:tcPr>
          <w:p w14:paraId="68F5EF95" w14:textId="5F7612BA" w:rsidR="00886770" w:rsidRPr="004024CB" w:rsidRDefault="00471827" w:rsidP="00B339CC">
            <w:pPr>
              <w:jc w:val="both"/>
              <w:rPr>
                <w:rFonts w:ascii="Arial" w:hAnsi="Arial" w:cs="Arial"/>
                <w:sz w:val="20"/>
                <w:szCs w:val="20"/>
              </w:rPr>
            </w:pPr>
            <w:r>
              <w:rPr>
                <w:rFonts w:ascii="Arial" w:hAnsi="Arial" w:cs="Arial"/>
                <w:sz w:val="20"/>
                <w:szCs w:val="20"/>
              </w:rPr>
              <w:t xml:space="preserve">Miércoles 12 </w:t>
            </w:r>
            <w:r w:rsidR="00B03113" w:rsidRPr="004024CB">
              <w:rPr>
                <w:rFonts w:ascii="Arial" w:hAnsi="Arial" w:cs="Arial"/>
                <w:sz w:val="20"/>
                <w:szCs w:val="20"/>
              </w:rPr>
              <w:t xml:space="preserve"> de </w:t>
            </w:r>
            <w:r w:rsidR="00B339CC">
              <w:rPr>
                <w:rFonts w:ascii="Arial" w:hAnsi="Arial" w:cs="Arial"/>
                <w:sz w:val="20"/>
                <w:szCs w:val="20"/>
              </w:rPr>
              <w:t>junio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1C148FC0"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561588">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F94449">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552" w:type="dxa"/>
            <w:vAlign w:val="center"/>
          </w:tcPr>
          <w:p w14:paraId="23AFF7BB" w14:textId="06B4601D" w:rsidR="00886770" w:rsidRPr="004024CB" w:rsidRDefault="00FC35D2" w:rsidP="00886770">
            <w:pPr>
              <w:rPr>
                <w:rFonts w:ascii="Arial" w:hAnsi="Arial" w:cs="Arial"/>
                <w:sz w:val="20"/>
                <w:szCs w:val="20"/>
              </w:rPr>
            </w:pPr>
            <w:r w:rsidRPr="004C6750">
              <w:rPr>
                <w:rFonts w:ascii="Arial" w:hAnsi="Arial" w:cs="Arial"/>
                <w:sz w:val="20"/>
                <w:szCs w:val="20"/>
                <w:highlight w:val="cyan"/>
              </w:rPr>
              <w:t xml:space="preserve">Junta de Aclaraciones </w:t>
            </w:r>
            <w:r w:rsidRPr="00F94449">
              <w:rPr>
                <w:rFonts w:ascii="Arial" w:hAnsi="Arial" w:cs="Arial"/>
                <w:b/>
                <w:sz w:val="20"/>
                <w:szCs w:val="20"/>
                <w:highlight w:val="cyan"/>
              </w:rPr>
              <w:t>con carácter obligatorio</w:t>
            </w:r>
            <w:r>
              <w:rPr>
                <w:rFonts w:ascii="Arial" w:hAnsi="Arial" w:cs="Arial"/>
                <w:sz w:val="20"/>
                <w:szCs w:val="20"/>
              </w:rPr>
              <w:t>.</w:t>
            </w:r>
          </w:p>
        </w:tc>
        <w:tc>
          <w:tcPr>
            <w:tcW w:w="1984" w:type="dxa"/>
            <w:vAlign w:val="center"/>
          </w:tcPr>
          <w:p w14:paraId="30BF9800" w14:textId="1872E006" w:rsidR="00886770" w:rsidRPr="004024CB" w:rsidRDefault="00471827" w:rsidP="00B339CC">
            <w:pPr>
              <w:jc w:val="both"/>
              <w:rPr>
                <w:rFonts w:ascii="Arial" w:hAnsi="Arial" w:cs="Arial"/>
                <w:sz w:val="20"/>
                <w:szCs w:val="20"/>
              </w:rPr>
            </w:pPr>
            <w:r>
              <w:rPr>
                <w:rFonts w:ascii="Arial" w:hAnsi="Arial" w:cs="Arial"/>
                <w:sz w:val="20"/>
                <w:szCs w:val="20"/>
              </w:rPr>
              <w:t>Lunes 17</w:t>
            </w:r>
            <w:r w:rsidR="008833A3">
              <w:rPr>
                <w:rFonts w:ascii="Arial" w:hAnsi="Arial" w:cs="Arial"/>
                <w:sz w:val="20"/>
                <w:szCs w:val="20"/>
              </w:rPr>
              <w:t xml:space="preserve"> de </w:t>
            </w:r>
            <w:r w:rsidR="00B339CC">
              <w:rPr>
                <w:rFonts w:ascii="Arial" w:hAnsi="Arial" w:cs="Arial"/>
                <w:sz w:val="20"/>
                <w:szCs w:val="20"/>
              </w:rPr>
              <w:t>junio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360465E4" w:rsidR="00886770" w:rsidRPr="004024CB" w:rsidRDefault="005E68CB" w:rsidP="00471827">
            <w:pPr>
              <w:jc w:val="center"/>
              <w:rPr>
                <w:rFonts w:ascii="Arial" w:hAnsi="Arial" w:cs="Arial"/>
                <w:sz w:val="20"/>
                <w:szCs w:val="20"/>
              </w:rPr>
            </w:pPr>
            <w:r w:rsidRPr="004024CB">
              <w:rPr>
                <w:rFonts w:ascii="Arial" w:hAnsi="Arial" w:cs="Arial"/>
                <w:sz w:val="20"/>
                <w:szCs w:val="20"/>
              </w:rPr>
              <w:t>1</w:t>
            </w:r>
            <w:r w:rsidR="00471827">
              <w:rPr>
                <w:rFonts w:ascii="Arial" w:hAnsi="Arial" w:cs="Arial"/>
                <w:sz w:val="20"/>
                <w:szCs w:val="20"/>
              </w:rPr>
              <w:t>3</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F94449">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552" w:type="dxa"/>
            <w:vAlign w:val="center"/>
          </w:tcPr>
          <w:p w14:paraId="6A723114" w14:textId="127EFB6D"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r w:rsidR="00FC35D2">
              <w:rPr>
                <w:rFonts w:ascii="Arial" w:hAnsi="Arial" w:cs="Arial"/>
                <w:sz w:val="20"/>
                <w:szCs w:val="20"/>
              </w:rPr>
              <w:t>.</w:t>
            </w:r>
          </w:p>
        </w:tc>
        <w:tc>
          <w:tcPr>
            <w:tcW w:w="4394"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F94449">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552"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1984" w:type="dxa"/>
            <w:vAlign w:val="center"/>
          </w:tcPr>
          <w:p w14:paraId="10EE1F03" w14:textId="4417892A" w:rsidR="00886770" w:rsidRPr="004024CB" w:rsidRDefault="00471827" w:rsidP="00471827">
            <w:pPr>
              <w:jc w:val="both"/>
              <w:rPr>
                <w:rFonts w:ascii="Arial" w:hAnsi="Arial" w:cs="Arial"/>
                <w:sz w:val="20"/>
                <w:szCs w:val="20"/>
              </w:rPr>
            </w:pPr>
            <w:r>
              <w:rPr>
                <w:rFonts w:ascii="Arial" w:hAnsi="Arial" w:cs="Arial"/>
                <w:sz w:val="20"/>
                <w:szCs w:val="20"/>
              </w:rPr>
              <w:t>Viernes 21</w:t>
            </w:r>
            <w:r w:rsidR="00B03113" w:rsidRPr="004024CB">
              <w:rPr>
                <w:rFonts w:ascii="Arial" w:hAnsi="Arial" w:cs="Arial"/>
                <w:sz w:val="20"/>
                <w:szCs w:val="20"/>
              </w:rPr>
              <w:t xml:space="preserve"> de </w:t>
            </w:r>
            <w:r w:rsidR="00B339CC">
              <w:rPr>
                <w:rFonts w:ascii="Arial" w:hAnsi="Arial" w:cs="Arial"/>
                <w:sz w:val="20"/>
                <w:szCs w:val="20"/>
              </w:rPr>
              <w:t>junio</w:t>
            </w:r>
            <w:r w:rsidR="008833A3">
              <w:rPr>
                <w:rFonts w:ascii="Arial" w:hAnsi="Arial" w:cs="Arial"/>
                <w:sz w:val="20"/>
                <w:szCs w:val="20"/>
              </w:rPr>
              <w:t xml:space="preserve">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4D153588"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561588">
              <w:rPr>
                <w:rFonts w:ascii="Arial" w:hAnsi="Arial" w:cs="Arial"/>
                <w:sz w:val="20"/>
                <w:szCs w:val="20"/>
              </w:rPr>
              <w:t>1</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F94449">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552"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394" w:type="dxa"/>
            <w:gridSpan w:val="2"/>
            <w:vAlign w:val="center"/>
          </w:tcPr>
          <w:p w14:paraId="528490A5" w14:textId="52EC1B02" w:rsidR="007B3A4D" w:rsidRPr="004024CB" w:rsidRDefault="007B3A4D" w:rsidP="00B332FD">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B332FD">
              <w:rPr>
                <w:rFonts w:ascii="Arial" w:hAnsi="Arial" w:cs="Arial"/>
                <w:sz w:val="20"/>
                <w:szCs w:val="20"/>
              </w:rPr>
              <w:t xml:space="preserve">veinte </w:t>
            </w:r>
            <w:r w:rsidRPr="004024CB">
              <w:rPr>
                <w:rFonts w:ascii="Arial" w:hAnsi="Arial" w:cs="Arial"/>
                <w:sz w:val="20"/>
                <w:szCs w:val="20"/>
              </w:rPr>
              <w:t>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F94449">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552"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394"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F94449">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552"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394"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F94449">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552" w:type="dxa"/>
            <w:vAlign w:val="center"/>
          </w:tcPr>
          <w:p w14:paraId="53695A4E" w14:textId="527461CF" w:rsidR="007B3A4D" w:rsidRPr="004024CB" w:rsidRDefault="007B3A4D" w:rsidP="00886770">
            <w:pPr>
              <w:rPr>
                <w:rFonts w:ascii="Arial" w:hAnsi="Arial" w:cs="Arial"/>
                <w:sz w:val="20"/>
                <w:szCs w:val="20"/>
              </w:rPr>
            </w:pPr>
            <w:r w:rsidRPr="004024CB">
              <w:rPr>
                <w:rFonts w:ascii="Arial" w:hAnsi="Arial" w:cs="Arial"/>
                <w:sz w:val="20"/>
                <w:szCs w:val="20"/>
              </w:rPr>
              <w:t>Pago</w:t>
            </w:r>
            <w:r w:rsidR="00FC35D2">
              <w:rPr>
                <w:rFonts w:ascii="Arial" w:hAnsi="Arial" w:cs="Arial"/>
                <w:sz w:val="20"/>
                <w:szCs w:val="20"/>
              </w:rPr>
              <w:t>.</w:t>
            </w:r>
          </w:p>
        </w:tc>
        <w:tc>
          <w:tcPr>
            <w:tcW w:w="4394"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930913">
        <w:trPr>
          <w:trHeight w:val="901"/>
        </w:trPr>
        <w:tc>
          <w:tcPr>
            <w:tcW w:w="3581" w:type="dxa"/>
            <w:shd w:val="clear" w:color="auto" w:fill="BFBFBF" w:themeFill="background1" w:themeFillShade="BF"/>
            <w:vAlign w:val="center"/>
          </w:tcPr>
          <w:p w14:paraId="6198E625"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7FF9D01E" w14:textId="2DB0CEB4" w:rsidR="00447429" w:rsidRDefault="00B339CC" w:rsidP="00930913">
            <w:pPr>
              <w:pStyle w:val="Sinespaciado"/>
              <w:contextualSpacing/>
              <w:jc w:val="center"/>
              <w:rPr>
                <w:rFonts w:ascii="Arial" w:hAnsi="Arial" w:cs="Arial"/>
                <w:sz w:val="20"/>
                <w:szCs w:val="20"/>
              </w:rPr>
            </w:pPr>
            <w:r>
              <w:rPr>
                <w:rFonts w:ascii="Arial" w:hAnsi="Arial" w:cs="Arial"/>
                <w:sz w:val="20"/>
                <w:szCs w:val="20"/>
              </w:rPr>
              <w:t>Adquisición de equipo de cómputo:</w:t>
            </w:r>
          </w:p>
          <w:p w14:paraId="72F6ABA0" w14:textId="77777777" w:rsidR="00930913" w:rsidRPr="00B339CC" w:rsidRDefault="00930913" w:rsidP="00930913">
            <w:pPr>
              <w:pStyle w:val="Sinespaciado"/>
              <w:contextualSpacing/>
              <w:jc w:val="center"/>
              <w:rPr>
                <w:rFonts w:ascii="Arial" w:hAnsi="Arial" w:cs="Arial"/>
                <w:b/>
                <w:color w:val="000000"/>
                <w:sz w:val="20"/>
                <w:szCs w:val="20"/>
              </w:rPr>
            </w:pPr>
          </w:p>
          <w:p w14:paraId="4BB7776B" w14:textId="77777777" w:rsidR="00B339CC" w:rsidRPr="00B339CC" w:rsidRDefault="00B339CC" w:rsidP="00930913">
            <w:pPr>
              <w:pStyle w:val="Sinespaciado"/>
              <w:numPr>
                <w:ilvl w:val="0"/>
                <w:numId w:val="50"/>
              </w:numPr>
              <w:spacing w:after="240" w:line="360" w:lineRule="auto"/>
              <w:contextualSpacing/>
              <w:jc w:val="center"/>
              <w:rPr>
                <w:rFonts w:ascii="Arial" w:hAnsi="Arial" w:cs="Arial"/>
                <w:b/>
                <w:color w:val="000000"/>
                <w:sz w:val="20"/>
                <w:szCs w:val="20"/>
              </w:rPr>
            </w:pPr>
            <w:r>
              <w:rPr>
                <w:rFonts w:ascii="Arial" w:hAnsi="Arial" w:cs="Arial"/>
                <w:sz w:val="20"/>
                <w:szCs w:val="20"/>
              </w:rPr>
              <w:t>75 equipos portátiles (laptop)</w:t>
            </w:r>
          </w:p>
          <w:p w14:paraId="41C2117A" w14:textId="479D2E41" w:rsidR="00B339CC" w:rsidRPr="00F9166E" w:rsidRDefault="00B339CC" w:rsidP="00930913">
            <w:pPr>
              <w:pStyle w:val="Sinespaciado"/>
              <w:numPr>
                <w:ilvl w:val="0"/>
                <w:numId w:val="50"/>
              </w:numPr>
              <w:spacing w:line="360" w:lineRule="auto"/>
              <w:contextualSpacing/>
              <w:jc w:val="center"/>
              <w:rPr>
                <w:rFonts w:ascii="Arial" w:hAnsi="Arial" w:cs="Arial"/>
                <w:b/>
                <w:color w:val="000000"/>
                <w:sz w:val="20"/>
                <w:szCs w:val="20"/>
              </w:rPr>
            </w:pPr>
            <w:r>
              <w:rPr>
                <w:rFonts w:ascii="Arial" w:hAnsi="Arial" w:cs="Arial"/>
                <w:sz w:val="20"/>
                <w:szCs w:val="20"/>
              </w:rPr>
              <w:t>75 equipos de escritorio (PC)</w:t>
            </w:r>
          </w:p>
        </w:tc>
      </w:tr>
      <w:tr w:rsidR="00447429" w:rsidRPr="00F9166E" w14:paraId="148F453C" w14:textId="77777777" w:rsidTr="008B1F8F">
        <w:tc>
          <w:tcPr>
            <w:tcW w:w="3581" w:type="dxa"/>
            <w:shd w:val="clear" w:color="auto" w:fill="BFBFBF" w:themeFill="background1" w:themeFillShade="BF"/>
          </w:tcPr>
          <w:p w14:paraId="2B496A58"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E999252" w14:textId="3BA3EF31" w:rsidR="00447429" w:rsidRPr="00F9166E" w:rsidRDefault="00B339CC" w:rsidP="00B339CC">
            <w:pPr>
              <w:widowControl w:val="0"/>
              <w:autoSpaceDE w:val="0"/>
              <w:autoSpaceDN w:val="0"/>
              <w:adjustRightInd w:val="0"/>
              <w:spacing w:line="257" w:lineRule="auto"/>
              <w:ind w:right="62"/>
              <w:rPr>
                <w:rFonts w:ascii="Arial" w:hAnsi="Arial" w:cs="Arial"/>
                <w:b/>
                <w:color w:val="000000"/>
                <w:sz w:val="20"/>
                <w:szCs w:val="20"/>
              </w:rPr>
            </w:pPr>
            <w:r>
              <w:rPr>
                <w:rFonts w:ascii="Arial" w:eastAsia="Arial" w:hAnsi="Arial" w:cs="Arial"/>
                <w:color w:val="000000"/>
                <w:sz w:val="20"/>
                <w:szCs w:val="20"/>
                <w:lang w:val="es-ES" w:eastAsia="es-ES"/>
              </w:rPr>
              <w:t>Descritas en las “Especificaciones Técnicas para los Anexos 1 y 5 LP-CC-001-2024”</w:t>
            </w:r>
          </w:p>
        </w:tc>
      </w:tr>
      <w:tr w:rsidR="00447429" w:rsidRPr="00F9166E" w14:paraId="2BC56B66" w14:textId="77777777" w:rsidTr="003676A6">
        <w:tc>
          <w:tcPr>
            <w:tcW w:w="3581" w:type="dxa"/>
            <w:shd w:val="clear" w:color="auto" w:fill="BFBFBF" w:themeFill="background1" w:themeFillShade="BF"/>
          </w:tcPr>
          <w:p w14:paraId="575FC292"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0FB84896" w14:textId="2A486BFD" w:rsidR="00447429" w:rsidRPr="00B339CC" w:rsidRDefault="00E66180" w:rsidP="00B339CC">
            <w:pPr>
              <w:widowControl w:val="0"/>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w:t>
            </w:r>
            <w:r w:rsidR="00B339CC" w:rsidRPr="00B339CC">
              <w:rPr>
                <w:rFonts w:ascii="Arial" w:hAnsi="Arial" w:cs="Arial"/>
                <w:color w:val="000000"/>
                <w:sz w:val="20"/>
                <w:szCs w:val="20"/>
              </w:rPr>
              <w:t>0 días naturales posterior a la emisión del dictamen de fallo, previa entrega de la orden de compra.</w:t>
            </w:r>
            <w:r w:rsidR="00447429" w:rsidRPr="00B339CC">
              <w:rPr>
                <w:rFonts w:ascii="Arial" w:hAnsi="Arial" w:cs="Arial"/>
                <w:color w:val="000000"/>
                <w:sz w:val="20"/>
                <w:szCs w:val="20"/>
              </w:rPr>
              <w:t xml:space="preserve"> </w:t>
            </w:r>
          </w:p>
        </w:tc>
      </w:tr>
      <w:tr w:rsidR="00447429" w:rsidRPr="00F9166E" w14:paraId="06DB4370" w14:textId="77777777" w:rsidTr="003676A6">
        <w:trPr>
          <w:trHeight w:val="413"/>
        </w:trPr>
        <w:tc>
          <w:tcPr>
            <w:tcW w:w="3581" w:type="dxa"/>
            <w:shd w:val="clear" w:color="auto" w:fill="BFBFBF" w:themeFill="background1" w:themeFillShade="BF"/>
          </w:tcPr>
          <w:p w14:paraId="4FB5F7C7"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12EF7153" w14:textId="74AEE42A" w:rsidR="00447429" w:rsidRPr="00530EFE" w:rsidRDefault="00447429" w:rsidP="00B339CC">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La partida </w:t>
            </w:r>
            <w:r w:rsidR="00B339CC">
              <w:rPr>
                <w:rFonts w:ascii="Arial" w:eastAsia="Times New Roman" w:hAnsi="Arial" w:cs="Arial"/>
                <w:color w:val="000000"/>
                <w:sz w:val="20"/>
                <w:szCs w:val="20"/>
                <w:lang w:eastAsia="es-MX"/>
              </w:rPr>
              <w:t>o conceptos podrán ser</w:t>
            </w:r>
            <w:r>
              <w:rPr>
                <w:rFonts w:ascii="Arial" w:eastAsia="Times New Roman" w:hAnsi="Arial" w:cs="Arial"/>
                <w:color w:val="000000"/>
                <w:sz w:val="20"/>
                <w:szCs w:val="20"/>
                <w:lang w:eastAsia="es-MX"/>
              </w:rPr>
              <w:t xml:space="preserve"> a</w:t>
            </w:r>
            <w:r w:rsidRPr="00530EFE">
              <w:rPr>
                <w:rFonts w:ascii="Arial" w:eastAsia="Times New Roman" w:hAnsi="Arial" w:cs="Arial"/>
                <w:color w:val="000000"/>
                <w:sz w:val="20"/>
                <w:szCs w:val="20"/>
                <w:lang w:eastAsia="es-MX"/>
              </w:rPr>
              <w:t>djudicada</w:t>
            </w:r>
            <w:r w:rsidR="00B339CC">
              <w:rPr>
                <w:rFonts w:ascii="Arial" w:eastAsia="Times New Roman" w:hAnsi="Arial" w:cs="Arial"/>
                <w:color w:val="000000"/>
                <w:sz w:val="20"/>
                <w:szCs w:val="20"/>
                <w:lang w:eastAsia="es-MX"/>
              </w:rPr>
              <w:t>s</w:t>
            </w:r>
            <w:r w:rsidRPr="00530EFE">
              <w:rPr>
                <w:rFonts w:ascii="Arial" w:eastAsia="Times New Roman" w:hAnsi="Arial" w:cs="Arial"/>
                <w:color w:val="000000"/>
                <w:sz w:val="20"/>
                <w:szCs w:val="20"/>
                <w:lang w:eastAsia="es-MX"/>
              </w:rPr>
              <w:t xml:space="preserve"> a </w:t>
            </w:r>
            <w:r w:rsidR="00B339CC">
              <w:rPr>
                <w:rFonts w:ascii="Arial" w:eastAsia="Times New Roman" w:hAnsi="Arial" w:cs="Arial"/>
                <w:color w:val="000000"/>
                <w:sz w:val="20"/>
                <w:szCs w:val="20"/>
                <w:lang w:eastAsia="es-MX"/>
              </w:rPr>
              <w:t>uno o varios licitantes, de acuerdo a sus propuestas.</w:t>
            </w:r>
            <w:r w:rsidRPr="00530EFE">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w:t>
      </w:r>
      <w:r w:rsidRPr="00721713">
        <w:rPr>
          <w:rFonts w:ascii="Arial" w:hAnsi="Arial" w:cs="Arial"/>
          <w:color w:val="000000"/>
          <w:spacing w:val="-1"/>
        </w:rPr>
        <w:lastRenderedPageBreak/>
        <w:t xml:space="preserve">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303DFAE7" w:rsidR="00E87FCF" w:rsidRPr="00721713" w:rsidRDefault="00B339CC" w:rsidP="00674896">
      <w:pPr>
        <w:jc w:val="both"/>
        <w:rPr>
          <w:rFonts w:ascii="Arial" w:hAnsi="Arial" w:cs="Arial"/>
          <w:color w:val="000000"/>
          <w:spacing w:val="-1"/>
          <w:sz w:val="24"/>
          <w:szCs w:val="24"/>
        </w:rPr>
      </w:pPr>
      <w:r>
        <w:rPr>
          <w:rFonts w:ascii="Arial" w:hAnsi="Arial" w:cs="Arial"/>
          <w:color w:val="000000"/>
          <w:spacing w:val="-1"/>
          <w:sz w:val="24"/>
          <w:szCs w:val="24"/>
        </w:rPr>
        <w:t>T</w:t>
      </w:r>
      <w:r w:rsidR="00E87FCF" w:rsidRPr="00B84813">
        <w:rPr>
          <w:rFonts w:ascii="Arial" w:hAnsi="Arial" w:cs="Arial"/>
          <w:color w:val="000000"/>
          <w:spacing w:val="-1"/>
          <w:sz w:val="24"/>
          <w:szCs w:val="24"/>
        </w:rPr>
        <w:t xml:space="preserve">odos los licitantes incluidos aquellos que no asistan a la </w:t>
      </w:r>
      <w:r w:rsidR="002C5FA3" w:rsidRPr="00B84813">
        <w:rPr>
          <w:rFonts w:ascii="Arial" w:hAnsi="Arial" w:cs="Arial"/>
          <w:color w:val="000000"/>
          <w:spacing w:val="-1"/>
          <w:sz w:val="24"/>
          <w:szCs w:val="24"/>
        </w:rPr>
        <w:t xml:space="preserve">Visita Guiada y/o </w:t>
      </w:r>
      <w:r w:rsidR="00E87FCF"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00E87FCF" w:rsidRPr="00B84813">
        <w:rPr>
          <w:rFonts w:ascii="Arial" w:hAnsi="Arial" w:cs="Arial"/>
          <w:color w:val="000000"/>
          <w:spacing w:val="-1"/>
          <w:sz w:val="24"/>
          <w:szCs w:val="24"/>
        </w:rPr>
        <w:t xml:space="preserve"> y se notificará conforme a lo dispuesto en la normatividad aplicable.</w:t>
      </w:r>
      <w:r w:rsidR="00E87FCF"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71D889ED" w14:textId="77777777" w:rsidR="009309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3A683BAB" w14:textId="7857DBF3" w:rsidR="00E87FCF" w:rsidRDefault="00B339CC" w:rsidP="00674896">
      <w:pPr>
        <w:jc w:val="both"/>
        <w:rPr>
          <w:rFonts w:ascii="Arial" w:hAnsi="Arial" w:cs="Arial"/>
          <w:color w:val="000000"/>
          <w:spacing w:val="-1"/>
          <w:sz w:val="24"/>
          <w:szCs w:val="24"/>
        </w:rPr>
      </w:pPr>
      <w:r w:rsidRPr="00B332FD">
        <w:rPr>
          <w:rFonts w:ascii="Arial" w:hAnsi="Arial" w:cs="Arial"/>
          <w:color w:val="000000"/>
          <w:spacing w:val="-1"/>
          <w:sz w:val="24"/>
          <w:szCs w:val="24"/>
          <w:highlight w:val="green"/>
        </w:rPr>
        <w:t>La asistencia a esta junta será obligat</w:t>
      </w:r>
      <w:r w:rsidR="00FC35D2" w:rsidRPr="00B332FD">
        <w:rPr>
          <w:rFonts w:ascii="Arial" w:hAnsi="Arial" w:cs="Arial"/>
          <w:color w:val="000000"/>
          <w:spacing w:val="-1"/>
          <w:sz w:val="24"/>
          <w:szCs w:val="24"/>
          <w:highlight w:val="green"/>
        </w:rPr>
        <w:t xml:space="preserve">oria, teniendo presente que el no hacerlo será considerado como una causal de </w:t>
      </w:r>
      <w:proofErr w:type="spellStart"/>
      <w:r w:rsidR="00FC35D2" w:rsidRPr="00B332FD">
        <w:rPr>
          <w:rFonts w:ascii="Arial" w:hAnsi="Arial" w:cs="Arial"/>
          <w:color w:val="000000"/>
          <w:spacing w:val="-1"/>
          <w:sz w:val="24"/>
          <w:szCs w:val="24"/>
          <w:highlight w:val="green"/>
        </w:rPr>
        <w:t>desechamiento</w:t>
      </w:r>
      <w:proofErr w:type="spellEnd"/>
      <w:r w:rsidR="00FC35D2" w:rsidRPr="00B332FD">
        <w:rPr>
          <w:rFonts w:ascii="Arial" w:hAnsi="Arial" w:cs="Arial"/>
          <w:color w:val="000000"/>
          <w:spacing w:val="-1"/>
          <w:sz w:val="24"/>
          <w:szCs w:val="24"/>
          <w:highlight w:val="green"/>
        </w:rPr>
        <w:t xml:space="preserve"> de propuesta.</w:t>
      </w:r>
    </w:p>
    <w:p w14:paraId="7D39FC43" w14:textId="5C7EA1A3" w:rsidR="00A80157" w:rsidRPr="00B84813" w:rsidRDefault="00576447" w:rsidP="00A80157">
      <w:pPr>
        <w:widowControl w:val="0"/>
        <w:autoSpaceDE w:val="0"/>
        <w:autoSpaceDN w:val="0"/>
        <w:adjustRightInd w:val="0"/>
        <w:spacing w:line="239" w:lineRule="auto"/>
        <w:ind w:right="62"/>
        <w:jc w:val="both"/>
        <w:rPr>
          <w:rFonts w:ascii="Arial" w:hAnsi="Arial" w:cs="Arial"/>
          <w:color w:val="000000"/>
          <w:sz w:val="24"/>
          <w:szCs w:val="24"/>
        </w:rPr>
      </w:pPr>
      <w:r>
        <w:rPr>
          <w:rFonts w:ascii="Arial" w:hAnsi="Arial" w:cs="Arial"/>
          <w:color w:val="000000"/>
          <w:sz w:val="24"/>
          <w:szCs w:val="24"/>
        </w:rPr>
        <w:t>L</w:t>
      </w:r>
      <w:r w:rsidR="00A80157" w:rsidRPr="00B84813">
        <w:rPr>
          <w:rFonts w:ascii="Arial" w:hAnsi="Arial" w:cs="Arial"/>
          <w:color w:val="000000"/>
          <w:sz w:val="24"/>
          <w:szCs w:val="24"/>
        </w:rPr>
        <w:t>o</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ac</w:t>
      </w:r>
      <w:r w:rsidR="00A80157" w:rsidRPr="00B84813">
        <w:rPr>
          <w:rFonts w:ascii="Arial" w:hAnsi="Arial" w:cs="Arial"/>
          <w:color w:val="000000"/>
          <w:spacing w:val="-1"/>
          <w:sz w:val="24"/>
          <w:szCs w:val="24"/>
        </w:rPr>
        <w:t>o</w:t>
      </w:r>
      <w:r w:rsidR="00A80157" w:rsidRPr="00B84813">
        <w:rPr>
          <w:rFonts w:ascii="Arial" w:hAnsi="Arial" w:cs="Arial"/>
          <w:color w:val="000000"/>
          <w:spacing w:val="-2"/>
          <w:sz w:val="24"/>
          <w:szCs w:val="24"/>
        </w:rPr>
        <w:t>r</w:t>
      </w:r>
      <w:r w:rsidR="00A80157" w:rsidRPr="00B84813">
        <w:rPr>
          <w:rFonts w:ascii="Arial" w:hAnsi="Arial" w:cs="Arial"/>
          <w:color w:val="000000"/>
          <w:sz w:val="24"/>
          <w:szCs w:val="24"/>
        </w:rPr>
        <w:t>d</w:t>
      </w:r>
      <w:r w:rsidR="00A80157" w:rsidRPr="00B84813">
        <w:rPr>
          <w:rFonts w:ascii="Arial" w:hAnsi="Arial" w:cs="Arial"/>
          <w:color w:val="000000"/>
          <w:spacing w:val="-3"/>
          <w:sz w:val="24"/>
          <w:szCs w:val="24"/>
        </w:rPr>
        <w:t>a</w:t>
      </w:r>
      <w:r w:rsidR="00A80157" w:rsidRPr="00B84813">
        <w:rPr>
          <w:rFonts w:ascii="Arial" w:hAnsi="Arial" w:cs="Arial"/>
          <w:color w:val="000000"/>
          <w:sz w:val="24"/>
          <w:szCs w:val="24"/>
        </w:rPr>
        <w:t>do</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en</w:t>
      </w:r>
      <w:r w:rsidR="00A80157" w:rsidRPr="00B84813">
        <w:rPr>
          <w:rFonts w:ascii="Arial" w:hAnsi="Arial" w:cs="Arial"/>
          <w:color w:val="000000"/>
          <w:spacing w:val="-2"/>
          <w:sz w:val="24"/>
          <w:szCs w:val="24"/>
        </w:rPr>
        <w:t xml:space="preserve"> </w:t>
      </w:r>
      <w:r w:rsidR="00A80157" w:rsidRPr="00B84813">
        <w:rPr>
          <w:rFonts w:ascii="Arial" w:hAnsi="Arial" w:cs="Arial"/>
          <w:color w:val="000000"/>
          <w:spacing w:val="-1"/>
          <w:sz w:val="24"/>
          <w:szCs w:val="24"/>
        </w:rPr>
        <w:t>l</w:t>
      </w:r>
      <w:r w:rsidR="00A80157" w:rsidRPr="00B84813">
        <w:rPr>
          <w:rFonts w:ascii="Arial" w:hAnsi="Arial" w:cs="Arial"/>
          <w:color w:val="000000"/>
          <w:sz w:val="24"/>
          <w:szCs w:val="24"/>
        </w:rPr>
        <w:t>a</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c</w:t>
      </w:r>
      <w:r w:rsidR="00A80157" w:rsidRPr="00B84813">
        <w:rPr>
          <w:rFonts w:ascii="Arial" w:hAnsi="Arial" w:cs="Arial"/>
          <w:color w:val="000000"/>
          <w:spacing w:val="-1"/>
          <w:sz w:val="24"/>
          <w:szCs w:val="24"/>
        </w:rPr>
        <w:t>i</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a</w:t>
      </w:r>
      <w:r w:rsidR="00A80157" w:rsidRPr="00B84813">
        <w:rPr>
          <w:rFonts w:ascii="Arial" w:hAnsi="Arial" w:cs="Arial"/>
          <w:color w:val="000000"/>
          <w:spacing w:val="-1"/>
          <w:sz w:val="24"/>
          <w:szCs w:val="24"/>
        </w:rPr>
        <w:t>d</w:t>
      </w:r>
      <w:r w:rsidR="00A80157" w:rsidRPr="00B84813">
        <w:rPr>
          <w:rFonts w:ascii="Arial" w:hAnsi="Arial" w:cs="Arial"/>
          <w:color w:val="000000"/>
          <w:sz w:val="24"/>
          <w:szCs w:val="24"/>
        </w:rPr>
        <w:t>a</w:t>
      </w:r>
      <w:r w:rsidR="00A80157" w:rsidRPr="00B84813">
        <w:rPr>
          <w:rFonts w:ascii="Arial" w:hAnsi="Arial" w:cs="Arial"/>
          <w:color w:val="000000"/>
          <w:spacing w:val="-4"/>
          <w:sz w:val="24"/>
          <w:szCs w:val="24"/>
        </w:rPr>
        <w:t xml:space="preserve"> </w:t>
      </w:r>
      <w:r w:rsidR="00A80157" w:rsidRPr="00B84813">
        <w:rPr>
          <w:rFonts w:ascii="Arial" w:hAnsi="Arial" w:cs="Arial"/>
          <w:color w:val="000000"/>
          <w:spacing w:val="1"/>
          <w:sz w:val="24"/>
          <w:szCs w:val="24"/>
        </w:rPr>
        <w:t>j</w:t>
      </w:r>
      <w:r w:rsidR="00A80157" w:rsidRPr="00B84813">
        <w:rPr>
          <w:rFonts w:ascii="Arial" w:hAnsi="Arial" w:cs="Arial"/>
          <w:color w:val="000000"/>
          <w:sz w:val="24"/>
          <w:szCs w:val="24"/>
        </w:rPr>
        <w:t>u</w:t>
      </w:r>
      <w:r w:rsidR="00A80157" w:rsidRPr="00B84813">
        <w:rPr>
          <w:rFonts w:ascii="Arial" w:hAnsi="Arial" w:cs="Arial"/>
          <w:color w:val="000000"/>
          <w:spacing w:val="-3"/>
          <w:sz w:val="24"/>
          <w:szCs w:val="24"/>
        </w:rPr>
        <w:t>n</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a</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s</w:t>
      </w:r>
      <w:r w:rsidR="00A80157" w:rsidRPr="00B84813">
        <w:rPr>
          <w:rFonts w:ascii="Arial" w:hAnsi="Arial" w:cs="Arial"/>
          <w:color w:val="000000"/>
          <w:spacing w:val="-3"/>
          <w:sz w:val="24"/>
          <w:szCs w:val="24"/>
        </w:rPr>
        <w:t>e</w:t>
      </w:r>
      <w:r w:rsidR="00A80157" w:rsidRPr="00B84813">
        <w:rPr>
          <w:rFonts w:ascii="Arial" w:hAnsi="Arial" w:cs="Arial"/>
          <w:color w:val="000000"/>
          <w:spacing w:val="1"/>
          <w:sz w:val="24"/>
          <w:szCs w:val="24"/>
        </w:rPr>
        <w:t>r</w:t>
      </w:r>
      <w:r w:rsidR="00A80157" w:rsidRPr="00B84813">
        <w:rPr>
          <w:rFonts w:ascii="Arial" w:hAnsi="Arial" w:cs="Arial"/>
          <w:color w:val="000000"/>
          <w:sz w:val="24"/>
          <w:szCs w:val="24"/>
        </w:rPr>
        <w:t>á</w:t>
      </w:r>
      <w:r w:rsidR="00A80157" w:rsidRPr="00B84813">
        <w:rPr>
          <w:rFonts w:ascii="Arial" w:hAnsi="Arial" w:cs="Arial"/>
          <w:color w:val="000000"/>
          <w:spacing w:val="-4"/>
          <w:sz w:val="24"/>
          <w:szCs w:val="24"/>
        </w:rPr>
        <w:t xml:space="preserve"> </w:t>
      </w:r>
      <w:r w:rsidR="00A80157" w:rsidRPr="00B84813">
        <w:rPr>
          <w:rFonts w:ascii="Arial" w:hAnsi="Arial" w:cs="Arial"/>
          <w:color w:val="000000"/>
          <w:sz w:val="24"/>
          <w:szCs w:val="24"/>
        </w:rPr>
        <w:t>ac</w:t>
      </w:r>
      <w:r w:rsidR="00A80157" w:rsidRPr="00B84813">
        <w:rPr>
          <w:rFonts w:ascii="Arial" w:hAnsi="Arial" w:cs="Arial"/>
          <w:color w:val="000000"/>
          <w:spacing w:val="-1"/>
          <w:sz w:val="24"/>
          <w:szCs w:val="24"/>
        </w:rPr>
        <w:t>e</w:t>
      </w:r>
      <w:r w:rsidR="00A80157" w:rsidRPr="00B84813">
        <w:rPr>
          <w:rFonts w:ascii="Arial" w:hAnsi="Arial" w:cs="Arial"/>
          <w:color w:val="000000"/>
          <w:sz w:val="24"/>
          <w:szCs w:val="24"/>
        </w:rPr>
        <w:t>ptado</w:t>
      </w:r>
      <w:r w:rsidR="00A80157" w:rsidRPr="00B84813">
        <w:rPr>
          <w:rFonts w:ascii="Arial" w:hAnsi="Arial" w:cs="Arial"/>
          <w:color w:val="000000"/>
          <w:spacing w:val="-4"/>
          <w:sz w:val="24"/>
          <w:szCs w:val="24"/>
        </w:rPr>
        <w:t xml:space="preserve"> </w:t>
      </w:r>
      <w:r w:rsidR="00A80157" w:rsidRPr="00B84813">
        <w:rPr>
          <w:rFonts w:ascii="Arial" w:hAnsi="Arial" w:cs="Arial"/>
          <w:color w:val="000000"/>
          <w:sz w:val="24"/>
          <w:szCs w:val="24"/>
        </w:rPr>
        <w:t>y</w:t>
      </w:r>
      <w:r w:rsidR="00A80157" w:rsidRPr="00B84813">
        <w:rPr>
          <w:rFonts w:ascii="Arial" w:hAnsi="Arial" w:cs="Arial"/>
          <w:color w:val="000000"/>
          <w:spacing w:val="-6"/>
          <w:sz w:val="24"/>
          <w:szCs w:val="24"/>
        </w:rPr>
        <w:t xml:space="preserve"> </w:t>
      </w:r>
      <w:r w:rsidR="00A80157" w:rsidRPr="00B84813">
        <w:rPr>
          <w:rFonts w:ascii="Arial" w:hAnsi="Arial" w:cs="Arial"/>
          <w:color w:val="000000"/>
          <w:spacing w:val="3"/>
          <w:sz w:val="24"/>
          <w:szCs w:val="24"/>
        </w:rPr>
        <w:t>f</w:t>
      </w:r>
      <w:r w:rsidR="00A80157" w:rsidRPr="00B84813">
        <w:rPr>
          <w:rFonts w:ascii="Arial" w:hAnsi="Arial" w:cs="Arial"/>
          <w:color w:val="000000"/>
          <w:sz w:val="24"/>
          <w:szCs w:val="24"/>
        </w:rPr>
        <w:t>o</w:t>
      </w:r>
      <w:r w:rsidR="00A80157" w:rsidRPr="00B84813">
        <w:rPr>
          <w:rFonts w:ascii="Arial" w:hAnsi="Arial" w:cs="Arial"/>
          <w:color w:val="000000"/>
          <w:spacing w:val="-2"/>
          <w:sz w:val="24"/>
          <w:szCs w:val="24"/>
        </w:rPr>
        <w:t>r</w:t>
      </w:r>
      <w:r w:rsidR="00A80157" w:rsidRPr="00B84813">
        <w:rPr>
          <w:rFonts w:ascii="Arial" w:hAnsi="Arial" w:cs="Arial"/>
          <w:color w:val="000000"/>
          <w:spacing w:val="1"/>
          <w:sz w:val="24"/>
          <w:szCs w:val="24"/>
        </w:rPr>
        <w:t>m</w:t>
      </w:r>
      <w:r w:rsidR="00A80157" w:rsidRPr="00B84813">
        <w:rPr>
          <w:rFonts w:ascii="Arial" w:hAnsi="Arial" w:cs="Arial"/>
          <w:color w:val="000000"/>
          <w:sz w:val="24"/>
          <w:szCs w:val="24"/>
        </w:rPr>
        <w:t>ará</w:t>
      </w:r>
      <w:r w:rsidR="00A80157" w:rsidRPr="00B84813">
        <w:rPr>
          <w:rFonts w:ascii="Arial" w:hAnsi="Arial" w:cs="Arial"/>
          <w:color w:val="000000"/>
          <w:spacing w:val="-3"/>
          <w:sz w:val="24"/>
          <w:szCs w:val="24"/>
        </w:rPr>
        <w:t xml:space="preserve"> </w:t>
      </w:r>
      <w:r w:rsidR="00A80157" w:rsidRPr="00B84813">
        <w:rPr>
          <w:rFonts w:ascii="Arial" w:hAnsi="Arial" w:cs="Arial"/>
          <w:color w:val="000000"/>
          <w:sz w:val="24"/>
          <w:szCs w:val="24"/>
        </w:rPr>
        <w:t>p</w:t>
      </w:r>
      <w:r w:rsidR="00A80157" w:rsidRPr="00B84813">
        <w:rPr>
          <w:rFonts w:ascii="Arial" w:hAnsi="Arial" w:cs="Arial"/>
          <w:color w:val="000000"/>
          <w:spacing w:val="-1"/>
          <w:sz w:val="24"/>
          <w:szCs w:val="24"/>
        </w:rPr>
        <w:t>a</w:t>
      </w:r>
      <w:r w:rsidR="00A80157" w:rsidRPr="00B84813">
        <w:rPr>
          <w:rFonts w:ascii="Arial" w:hAnsi="Arial" w:cs="Arial"/>
          <w:color w:val="000000"/>
          <w:spacing w:val="-2"/>
          <w:sz w:val="24"/>
          <w:szCs w:val="24"/>
        </w:rPr>
        <w:t>r</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e</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 xml:space="preserve">de </w:t>
      </w:r>
      <w:r w:rsidR="00A80157" w:rsidRPr="00B84813">
        <w:rPr>
          <w:rFonts w:ascii="Arial" w:hAnsi="Arial" w:cs="Arial"/>
          <w:color w:val="000000"/>
          <w:spacing w:val="-1"/>
          <w:sz w:val="24"/>
          <w:szCs w:val="24"/>
        </w:rPr>
        <w:t>la presente convocatoria</w:t>
      </w:r>
      <w:r w:rsidR="00A80157" w:rsidRPr="00B84813">
        <w:rPr>
          <w:rFonts w:ascii="Arial" w:hAnsi="Arial" w:cs="Arial"/>
          <w:color w:val="000000"/>
          <w:sz w:val="24"/>
          <w:szCs w:val="24"/>
        </w:rPr>
        <w:t>,</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de co</w:t>
      </w:r>
      <w:r w:rsidR="00A80157" w:rsidRPr="00B84813">
        <w:rPr>
          <w:rFonts w:ascii="Arial" w:hAnsi="Arial" w:cs="Arial"/>
          <w:color w:val="000000"/>
          <w:spacing w:val="-3"/>
          <w:sz w:val="24"/>
          <w:szCs w:val="24"/>
        </w:rPr>
        <w:t>n</w:t>
      </w:r>
      <w:r w:rsidR="00A80157" w:rsidRPr="00B84813">
        <w:rPr>
          <w:rFonts w:ascii="Arial" w:hAnsi="Arial" w:cs="Arial"/>
          <w:color w:val="000000"/>
          <w:spacing w:val="1"/>
          <w:sz w:val="24"/>
          <w:szCs w:val="24"/>
        </w:rPr>
        <w:t>f</w:t>
      </w:r>
      <w:r w:rsidR="00A80157" w:rsidRPr="00B84813">
        <w:rPr>
          <w:rFonts w:ascii="Arial" w:hAnsi="Arial" w:cs="Arial"/>
          <w:color w:val="000000"/>
          <w:sz w:val="24"/>
          <w:szCs w:val="24"/>
        </w:rPr>
        <w:t>o</w:t>
      </w:r>
      <w:r w:rsidR="00A80157" w:rsidRPr="00B84813">
        <w:rPr>
          <w:rFonts w:ascii="Arial" w:hAnsi="Arial" w:cs="Arial"/>
          <w:color w:val="000000"/>
          <w:spacing w:val="-2"/>
          <w:sz w:val="24"/>
          <w:szCs w:val="24"/>
        </w:rPr>
        <w:t>r</w:t>
      </w:r>
      <w:r w:rsidR="00A80157" w:rsidRPr="00B84813">
        <w:rPr>
          <w:rFonts w:ascii="Arial" w:hAnsi="Arial" w:cs="Arial"/>
          <w:color w:val="000000"/>
          <w:spacing w:val="1"/>
          <w:sz w:val="24"/>
          <w:szCs w:val="24"/>
        </w:rPr>
        <w:t>m</w:t>
      </w:r>
      <w:r w:rsidR="00A80157" w:rsidRPr="00B84813">
        <w:rPr>
          <w:rFonts w:ascii="Arial" w:hAnsi="Arial" w:cs="Arial"/>
          <w:color w:val="000000"/>
          <w:sz w:val="24"/>
          <w:szCs w:val="24"/>
        </w:rPr>
        <w:t>id</w:t>
      </w:r>
      <w:r w:rsidR="00A80157" w:rsidRPr="00B84813">
        <w:rPr>
          <w:rFonts w:ascii="Arial" w:hAnsi="Arial" w:cs="Arial"/>
          <w:color w:val="000000"/>
          <w:spacing w:val="-1"/>
          <w:sz w:val="24"/>
          <w:szCs w:val="24"/>
        </w:rPr>
        <w:t>a</w:t>
      </w:r>
      <w:r w:rsidR="00A80157" w:rsidRPr="00B84813">
        <w:rPr>
          <w:rFonts w:ascii="Arial" w:hAnsi="Arial" w:cs="Arial"/>
          <w:color w:val="000000"/>
          <w:sz w:val="24"/>
          <w:szCs w:val="24"/>
        </w:rPr>
        <w:t>d</w:t>
      </w:r>
      <w:r w:rsidR="00A80157" w:rsidRPr="00B84813">
        <w:rPr>
          <w:rFonts w:ascii="Arial" w:hAnsi="Arial" w:cs="Arial"/>
          <w:color w:val="000000"/>
          <w:spacing w:val="3"/>
          <w:sz w:val="24"/>
          <w:szCs w:val="24"/>
        </w:rPr>
        <w:t xml:space="preserve"> </w:t>
      </w:r>
      <w:r w:rsidR="00A80157" w:rsidRPr="00B84813">
        <w:rPr>
          <w:rFonts w:ascii="Arial" w:hAnsi="Arial" w:cs="Arial"/>
          <w:color w:val="000000"/>
          <w:sz w:val="24"/>
          <w:szCs w:val="24"/>
        </w:rPr>
        <w:t>con el a</w:t>
      </w:r>
      <w:r w:rsidR="00A80157" w:rsidRPr="00B84813">
        <w:rPr>
          <w:rFonts w:ascii="Arial" w:hAnsi="Arial" w:cs="Arial"/>
          <w:color w:val="000000"/>
          <w:spacing w:val="-2"/>
          <w:sz w:val="24"/>
          <w:szCs w:val="24"/>
        </w:rPr>
        <w:t>r</w:t>
      </w:r>
      <w:r w:rsidR="00A80157" w:rsidRPr="00B84813">
        <w:rPr>
          <w:rFonts w:ascii="Arial" w:hAnsi="Arial" w:cs="Arial"/>
          <w:color w:val="000000"/>
          <w:spacing w:val="1"/>
          <w:sz w:val="24"/>
          <w:szCs w:val="24"/>
        </w:rPr>
        <w:t>t</w:t>
      </w:r>
      <w:r w:rsidR="00A80157" w:rsidRPr="00B84813">
        <w:rPr>
          <w:rFonts w:ascii="Arial" w:hAnsi="Arial" w:cs="Arial"/>
          <w:color w:val="000000"/>
          <w:spacing w:val="-1"/>
          <w:sz w:val="24"/>
          <w:szCs w:val="24"/>
        </w:rPr>
        <w:t>í</w:t>
      </w:r>
      <w:r w:rsidR="00A80157" w:rsidRPr="00B84813">
        <w:rPr>
          <w:rFonts w:ascii="Arial" w:hAnsi="Arial" w:cs="Arial"/>
          <w:color w:val="000000"/>
          <w:sz w:val="24"/>
          <w:szCs w:val="24"/>
        </w:rPr>
        <w:t>cu</w:t>
      </w:r>
      <w:r w:rsidR="00A80157" w:rsidRPr="00B84813">
        <w:rPr>
          <w:rFonts w:ascii="Arial" w:hAnsi="Arial" w:cs="Arial"/>
          <w:color w:val="000000"/>
          <w:spacing w:val="-1"/>
          <w:sz w:val="24"/>
          <w:szCs w:val="24"/>
        </w:rPr>
        <w:t>l</w:t>
      </w:r>
      <w:r w:rsidR="00A80157" w:rsidRPr="00B84813">
        <w:rPr>
          <w:rFonts w:ascii="Arial" w:hAnsi="Arial" w:cs="Arial"/>
          <w:color w:val="000000"/>
          <w:sz w:val="24"/>
          <w:szCs w:val="24"/>
        </w:rPr>
        <w:t>o</w:t>
      </w:r>
      <w:r w:rsidR="00A80157" w:rsidRPr="00B84813">
        <w:rPr>
          <w:rFonts w:ascii="Arial" w:hAnsi="Arial" w:cs="Arial"/>
          <w:color w:val="000000"/>
          <w:spacing w:val="3"/>
          <w:sz w:val="24"/>
          <w:szCs w:val="24"/>
        </w:rPr>
        <w:t xml:space="preserve"> </w:t>
      </w:r>
      <w:r w:rsidR="00A80157" w:rsidRPr="00B84813">
        <w:rPr>
          <w:rFonts w:ascii="Arial" w:hAnsi="Arial" w:cs="Arial"/>
          <w:color w:val="000000"/>
          <w:sz w:val="24"/>
          <w:szCs w:val="24"/>
        </w:rPr>
        <w:t>62</w:t>
      </w:r>
      <w:r w:rsidR="00A80157" w:rsidRPr="00B84813">
        <w:rPr>
          <w:rFonts w:ascii="Arial" w:hAnsi="Arial" w:cs="Arial"/>
          <w:color w:val="000000"/>
          <w:spacing w:val="1"/>
          <w:sz w:val="24"/>
          <w:szCs w:val="24"/>
        </w:rPr>
        <w:t xml:space="preserve"> </w:t>
      </w:r>
      <w:r w:rsidR="00A80157" w:rsidRPr="00B84813">
        <w:rPr>
          <w:rFonts w:ascii="Arial" w:hAnsi="Arial" w:cs="Arial"/>
          <w:color w:val="000000"/>
          <w:sz w:val="24"/>
          <w:szCs w:val="24"/>
        </w:rPr>
        <w:t>de</w:t>
      </w:r>
      <w:r w:rsidR="00A80157" w:rsidRPr="00B84813">
        <w:rPr>
          <w:rFonts w:ascii="Arial" w:hAnsi="Arial" w:cs="Arial"/>
          <w:color w:val="000000"/>
          <w:spacing w:val="3"/>
          <w:sz w:val="24"/>
          <w:szCs w:val="24"/>
        </w:rPr>
        <w:t xml:space="preserve"> </w:t>
      </w:r>
      <w:r w:rsidR="00A80157" w:rsidRPr="00B84813">
        <w:rPr>
          <w:rFonts w:ascii="Arial" w:hAnsi="Arial" w:cs="Arial"/>
          <w:color w:val="000000"/>
          <w:spacing w:val="-1"/>
          <w:sz w:val="24"/>
          <w:szCs w:val="24"/>
        </w:rPr>
        <w:t>l</w:t>
      </w:r>
      <w:r w:rsidR="00A80157" w:rsidRPr="00B84813">
        <w:rPr>
          <w:rFonts w:ascii="Arial" w:hAnsi="Arial" w:cs="Arial"/>
          <w:color w:val="000000"/>
          <w:sz w:val="24"/>
          <w:szCs w:val="24"/>
        </w:rPr>
        <w:t>a L</w:t>
      </w:r>
      <w:r w:rsidR="00A80157" w:rsidRPr="00B84813">
        <w:rPr>
          <w:rFonts w:ascii="Arial" w:hAnsi="Arial" w:cs="Arial"/>
          <w:color w:val="000000"/>
          <w:spacing w:val="-1"/>
          <w:sz w:val="24"/>
          <w:szCs w:val="24"/>
        </w:rPr>
        <w:t>e</w:t>
      </w:r>
      <w:r w:rsidR="00A80157" w:rsidRPr="00B84813">
        <w:rPr>
          <w:rFonts w:ascii="Arial" w:hAnsi="Arial" w:cs="Arial"/>
          <w:color w:val="000000"/>
          <w:sz w:val="24"/>
          <w:szCs w:val="24"/>
        </w:rPr>
        <w:t>y</w:t>
      </w:r>
      <w:r w:rsidR="00A80157" w:rsidRPr="00B84813">
        <w:rPr>
          <w:rFonts w:ascii="Arial" w:hAnsi="Arial" w:cs="Arial"/>
          <w:color w:val="000000"/>
          <w:spacing w:val="1"/>
          <w:sz w:val="24"/>
          <w:szCs w:val="24"/>
        </w:rPr>
        <w:t xml:space="preserve"> </w:t>
      </w:r>
      <w:r w:rsidR="00A80157" w:rsidRPr="00B84813">
        <w:rPr>
          <w:rFonts w:ascii="Arial" w:hAnsi="Arial" w:cs="Arial"/>
          <w:color w:val="000000"/>
          <w:sz w:val="24"/>
          <w:szCs w:val="24"/>
        </w:rPr>
        <w:t>y</w:t>
      </w:r>
      <w:r w:rsidR="00A80157" w:rsidRPr="00B84813">
        <w:rPr>
          <w:rFonts w:ascii="Arial" w:hAnsi="Arial" w:cs="Arial"/>
          <w:color w:val="000000"/>
          <w:spacing w:val="1"/>
          <w:sz w:val="24"/>
          <w:szCs w:val="24"/>
        </w:rPr>
        <w:t xml:space="preserve"> </w:t>
      </w:r>
      <w:r w:rsidR="00A80157" w:rsidRPr="00B84813">
        <w:rPr>
          <w:rFonts w:ascii="Arial" w:hAnsi="Arial" w:cs="Arial"/>
          <w:color w:val="000000"/>
          <w:sz w:val="24"/>
          <w:szCs w:val="24"/>
        </w:rPr>
        <w:t xml:space="preserve">65 </w:t>
      </w:r>
      <w:r w:rsidR="00A80157" w:rsidRPr="00B84813">
        <w:rPr>
          <w:rFonts w:ascii="Arial" w:hAnsi="Arial" w:cs="Arial"/>
          <w:color w:val="000000"/>
          <w:spacing w:val="-3"/>
          <w:sz w:val="24"/>
          <w:szCs w:val="24"/>
        </w:rPr>
        <w:t>d</w:t>
      </w:r>
      <w:r w:rsidR="00A80157" w:rsidRPr="00B84813">
        <w:rPr>
          <w:rFonts w:ascii="Arial" w:hAnsi="Arial" w:cs="Arial"/>
          <w:color w:val="000000"/>
          <w:sz w:val="24"/>
          <w:szCs w:val="24"/>
        </w:rPr>
        <w:t>e</w:t>
      </w:r>
      <w:r w:rsidR="00A80157" w:rsidRPr="00B84813">
        <w:rPr>
          <w:rFonts w:ascii="Arial" w:hAnsi="Arial" w:cs="Arial"/>
          <w:color w:val="000000"/>
          <w:spacing w:val="3"/>
          <w:sz w:val="24"/>
          <w:szCs w:val="24"/>
        </w:rPr>
        <w:t>l</w:t>
      </w:r>
      <w:r w:rsidR="00A80157" w:rsidRPr="00B84813">
        <w:rPr>
          <w:rFonts w:ascii="Arial" w:hAnsi="Arial" w:cs="Arial"/>
          <w:color w:val="000000"/>
          <w:sz w:val="24"/>
          <w:szCs w:val="24"/>
        </w:rPr>
        <w:t xml:space="preserve"> </w:t>
      </w:r>
      <w:r w:rsidR="00A80157" w:rsidRPr="00B84813">
        <w:rPr>
          <w:rFonts w:ascii="Arial" w:hAnsi="Arial" w:cs="Arial"/>
          <w:color w:val="000000"/>
          <w:spacing w:val="-1"/>
          <w:sz w:val="24"/>
          <w:szCs w:val="24"/>
        </w:rPr>
        <w:t>R</w:t>
      </w:r>
      <w:r w:rsidR="00A80157" w:rsidRPr="00B84813">
        <w:rPr>
          <w:rFonts w:ascii="Arial" w:hAnsi="Arial" w:cs="Arial"/>
          <w:color w:val="000000"/>
          <w:spacing w:val="-3"/>
          <w:sz w:val="24"/>
          <w:szCs w:val="24"/>
        </w:rPr>
        <w:t>e</w:t>
      </w:r>
      <w:r w:rsidR="00A80157" w:rsidRPr="00B84813">
        <w:rPr>
          <w:rFonts w:ascii="Arial" w:hAnsi="Arial" w:cs="Arial"/>
          <w:color w:val="000000"/>
          <w:spacing w:val="2"/>
          <w:sz w:val="24"/>
          <w:szCs w:val="24"/>
        </w:rPr>
        <w:t>g</w:t>
      </w:r>
      <w:r w:rsidR="00A80157" w:rsidRPr="00B84813">
        <w:rPr>
          <w:rFonts w:ascii="Arial" w:hAnsi="Arial" w:cs="Arial"/>
          <w:color w:val="000000"/>
          <w:spacing w:val="-1"/>
          <w:sz w:val="24"/>
          <w:szCs w:val="24"/>
        </w:rPr>
        <w:t>l</w:t>
      </w:r>
      <w:r w:rsidR="00A80157" w:rsidRPr="00B84813">
        <w:rPr>
          <w:rFonts w:ascii="Arial" w:hAnsi="Arial" w:cs="Arial"/>
          <w:color w:val="000000"/>
          <w:sz w:val="24"/>
          <w:szCs w:val="24"/>
        </w:rPr>
        <w:t>ame</w:t>
      </w:r>
      <w:r w:rsidR="00A80157" w:rsidRPr="00B84813">
        <w:rPr>
          <w:rFonts w:ascii="Arial" w:hAnsi="Arial" w:cs="Arial"/>
          <w:color w:val="000000"/>
          <w:spacing w:val="-3"/>
          <w:sz w:val="24"/>
          <w:szCs w:val="24"/>
        </w:rPr>
        <w:t>n</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o.</w:t>
      </w:r>
      <w:r w:rsidR="00A80157" w:rsidRPr="00B84813">
        <w:rPr>
          <w:rFonts w:ascii="Arial" w:hAnsi="Arial" w:cs="Arial"/>
          <w:color w:val="000000"/>
          <w:spacing w:val="2"/>
          <w:sz w:val="24"/>
          <w:szCs w:val="24"/>
        </w:rPr>
        <w:t xml:space="preserve"> </w:t>
      </w:r>
      <w:r w:rsidR="00A80157" w:rsidRPr="00B84813">
        <w:rPr>
          <w:rFonts w:ascii="Arial" w:hAnsi="Arial" w:cs="Arial"/>
          <w:color w:val="000000"/>
          <w:spacing w:val="-1"/>
          <w:sz w:val="24"/>
          <w:szCs w:val="24"/>
        </w:rPr>
        <w:t>S</w:t>
      </w:r>
      <w:r w:rsidR="00A80157" w:rsidRPr="00B84813">
        <w:rPr>
          <w:rFonts w:ascii="Arial" w:hAnsi="Arial" w:cs="Arial"/>
          <w:color w:val="000000"/>
          <w:sz w:val="24"/>
          <w:szCs w:val="24"/>
        </w:rPr>
        <w:t>e d</w:t>
      </w:r>
      <w:r w:rsidR="00A80157" w:rsidRPr="00B84813">
        <w:rPr>
          <w:rFonts w:ascii="Arial" w:hAnsi="Arial" w:cs="Arial"/>
          <w:color w:val="000000"/>
          <w:spacing w:val="-3"/>
          <w:sz w:val="24"/>
          <w:szCs w:val="24"/>
        </w:rPr>
        <w:t>e</w:t>
      </w:r>
      <w:r w:rsidR="00A80157" w:rsidRPr="00B84813">
        <w:rPr>
          <w:rFonts w:ascii="Arial" w:hAnsi="Arial" w:cs="Arial"/>
          <w:color w:val="000000"/>
          <w:sz w:val="24"/>
          <w:szCs w:val="24"/>
        </w:rPr>
        <w:t>b</w:t>
      </w:r>
      <w:r w:rsidR="00A80157" w:rsidRPr="00B84813">
        <w:rPr>
          <w:rFonts w:ascii="Arial" w:hAnsi="Arial" w:cs="Arial"/>
          <w:color w:val="000000"/>
          <w:spacing w:val="-1"/>
          <w:sz w:val="24"/>
          <w:szCs w:val="24"/>
        </w:rPr>
        <w:t>e</w:t>
      </w:r>
      <w:r w:rsidR="00A80157" w:rsidRPr="00B84813">
        <w:rPr>
          <w:rFonts w:ascii="Arial" w:hAnsi="Arial" w:cs="Arial"/>
          <w:color w:val="000000"/>
          <w:spacing w:val="1"/>
          <w:sz w:val="24"/>
          <w:szCs w:val="24"/>
        </w:rPr>
        <w:t>r</w:t>
      </w:r>
      <w:r w:rsidR="00A80157" w:rsidRPr="00B84813">
        <w:rPr>
          <w:rFonts w:ascii="Arial" w:hAnsi="Arial" w:cs="Arial"/>
          <w:color w:val="000000"/>
          <w:sz w:val="24"/>
          <w:szCs w:val="24"/>
        </w:rPr>
        <w:t xml:space="preserve">án </w:t>
      </w:r>
      <w:r w:rsidR="00A80157" w:rsidRPr="00B84813">
        <w:rPr>
          <w:rFonts w:ascii="Arial" w:hAnsi="Arial" w:cs="Arial"/>
          <w:color w:val="000000"/>
          <w:spacing w:val="3"/>
          <w:sz w:val="24"/>
          <w:szCs w:val="24"/>
        </w:rPr>
        <w:t>f</w:t>
      </w:r>
      <w:r w:rsidR="00A80157" w:rsidRPr="00B84813">
        <w:rPr>
          <w:rFonts w:ascii="Arial" w:hAnsi="Arial" w:cs="Arial"/>
          <w:color w:val="000000"/>
          <w:spacing w:val="-3"/>
          <w:sz w:val="24"/>
          <w:szCs w:val="24"/>
        </w:rPr>
        <w:t>i</w:t>
      </w:r>
      <w:r w:rsidR="00A80157" w:rsidRPr="00B84813">
        <w:rPr>
          <w:rFonts w:ascii="Arial" w:hAnsi="Arial" w:cs="Arial"/>
          <w:color w:val="000000"/>
          <w:spacing w:val="1"/>
          <w:sz w:val="24"/>
          <w:szCs w:val="24"/>
        </w:rPr>
        <w:t>rm</w:t>
      </w:r>
      <w:r w:rsidR="00A80157" w:rsidRPr="00B84813">
        <w:rPr>
          <w:rFonts w:ascii="Arial" w:hAnsi="Arial" w:cs="Arial"/>
          <w:color w:val="000000"/>
          <w:spacing w:val="-3"/>
          <w:sz w:val="24"/>
          <w:szCs w:val="24"/>
        </w:rPr>
        <w:t>a</w:t>
      </w:r>
      <w:r w:rsidR="00A80157" w:rsidRPr="00B84813">
        <w:rPr>
          <w:rFonts w:ascii="Arial" w:hAnsi="Arial" w:cs="Arial"/>
          <w:color w:val="000000"/>
          <w:sz w:val="24"/>
          <w:szCs w:val="24"/>
        </w:rPr>
        <w:t>r</w:t>
      </w:r>
      <w:r w:rsidR="00A80157" w:rsidRPr="00B84813">
        <w:rPr>
          <w:rFonts w:ascii="Arial" w:hAnsi="Arial" w:cs="Arial"/>
          <w:color w:val="000000"/>
          <w:spacing w:val="3"/>
          <w:sz w:val="24"/>
          <w:szCs w:val="24"/>
        </w:rPr>
        <w:t xml:space="preserve"> </w:t>
      </w:r>
      <w:r w:rsidR="00A80157" w:rsidRPr="00B84813">
        <w:rPr>
          <w:rFonts w:ascii="Arial" w:hAnsi="Arial" w:cs="Arial"/>
          <w:color w:val="000000"/>
          <w:spacing w:val="-1"/>
          <w:sz w:val="24"/>
          <w:szCs w:val="24"/>
        </w:rPr>
        <w:t>l</w:t>
      </w:r>
      <w:r w:rsidR="00A80157" w:rsidRPr="00B84813">
        <w:rPr>
          <w:rFonts w:ascii="Arial" w:hAnsi="Arial" w:cs="Arial"/>
          <w:color w:val="000000"/>
          <w:sz w:val="24"/>
          <w:szCs w:val="24"/>
        </w:rPr>
        <w:t>a</w:t>
      </w:r>
      <w:r w:rsidR="00A80157" w:rsidRPr="00B84813">
        <w:rPr>
          <w:rFonts w:ascii="Arial" w:hAnsi="Arial" w:cs="Arial"/>
          <w:color w:val="000000"/>
          <w:spacing w:val="1"/>
          <w:sz w:val="24"/>
          <w:szCs w:val="24"/>
        </w:rPr>
        <w:t xml:space="preserve"> </w:t>
      </w:r>
      <w:r w:rsidR="00A80157" w:rsidRPr="00B84813">
        <w:rPr>
          <w:rFonts w:ascii="Arial" w:hAnsi="Arial" w:cs="Arial"/>
          <w:color w:val="000000"/>
          <w:spacing w:val="-1"/>
          <w:sz w:val="24"/>
          <w:szCs w:val="24"/>
        </w:rPr>
        <w:t>li</w:t>
      </w:r>
      <w:r w:rsidR="00A80157" w:rsidRPr="00B84813">
        <w:rPr>
          <w:rFonts w:ascii="Arial" w:hAnsi="Arial" w:cs="Arial"/>
          <w:color w:val="000000"/>
          <w:sz w:val="24"/>
          <w:szCs w:val="24"/>
        </w:rPr>
        <w:t>s</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a</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de</w:t>
      </w:r>
      <w:r w:rsidR="00A80157" w:rsidRPr="00B84813">
        <w:rPr>
          <w:rFonts w:ascii="Arial" w:hAnsi="Arial" w:cs="Arial"/>
          <w:color w:val="000000"/>
          <w:spacing w:val="-2"/>
          <w:sz w:val="24"/>
          <w:szCs w:val="24"/>
        </w:rPr>
        <w:t xml:space="preserve"> </w:t>
      </w:r>
      <w:r w:rsidR="00A80157" w:rsidRPr="00B84813">
        <w:rPr>
          <w:rFonts w:ascii="Arial" w:hAnsi="Arial" w:cs="Arial"/>
          <w:color w:val="000000"/>
          <w:sz w:val="24"/>
          <w:szCs w:val="24"/>
        </w:rPr>
        <w:t>as</w:t>
      </w:r>
      <w:r w:rsidR="00A80157" w:rsidRPr="00B84813">
        <w:rPr>
          <w:rFonts w:ascii="Arial" w:hAnsi="Arial" w:cs="Arial"/>
          <w:color w:val="000000"/>
          <w:spacing w:val="-1"/>
          <w:sz w:val="24"/>
          <w:szCs w:val="24"/>
        </w:rPr>
        <w:t>i</w:t>
      </w:r>
      <w:r w:rsidR="00A80157" w:rsidRPr="00B84813">
        <w:rPr>
          <w:rFonts w:ascii="Arial" w:hAnsi="Arial" w:cs="Arial"/>
          <w:color w:val="000000"/>
          <w:sz w:val="24"/>
          <w:szCs w:val="24"/>
        </w:rPr>
        <w:t>s</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e</w:t>
      </w:r>
      <w:r w:rsidR="00A80157" w:rsidRPr="00B84813">
        <w:rPr>
          <w:rFonts w:ascii="Arial" w:hAnsi="Arial" w:cs="Arial"/>
          <w:color w:val="000000"/>
          <w:spacing w:val="-1"/>
          <w:sz w:val="24"/>
          <w:szCs w:val="24"/>
        </w:rPr>
        <w:t>n</w:t>
      </w:r>
      <w:r w:rsidR="00A80157" w:rsidRPr="00B84813">
        <w:rPr>
          <w:rFonts w:ascii="Arial" w:hAnsi="Arial" w:cs="Arial"/>
          <w:color w:val="000000"/>
          <w:spacing w:val="-2"/>
          <w:sz w:val="24"/>
          <w:szCs w:val="24"/>
        </w:rPr>
        <w:t>c</w:t>
      </w:r>
      <w:r w:rsidR="00A80157" w:rsidRPr="00B84813">
        <w:rPr>
          <w:rFonts w:ascii="Arial" w:hAnsi="Arial" w:cs="Arial"/>
          <w:color w:val="000000"/>
          <w:spacing w:val="-1"/>
          <w:sz w:val="24"/>
          <w:szCs w:val="24"/>
        </w:rPr>
        <w:t>i</w:t>
      </w:r>
      <w:r w:rsidR="00A80157" w:rsidRPr="00B84813">
        <w:rPr>
          <w:rFonts w:ascii="Arial" w:hAnsi="Arial" w:cs="Arial"/>
          <w:color w:val="000000"/>
          <w:sz w:val="24"/>
          <w:szCs w:val="24"/>
        </w:rPr>
        <w:t>a y</w:t>
      </w:r>
      <w:r w:rsidR="00A80157" w:rsidRPr="00B84813">
        <w:rPr>
          <w:rFonts w:ascii="Arial" w:hAnsi="Arial" w:cs="Arial"/>
          <w:color w:val="000000"/>
          <w:spacing w:val="-1"/>
          <w:sz w:val="24"/>
          <w:szCs w:val="24"/>
        </w:rPr>
        <w:t xml:space="preserve"> </w:t>
      </w:r>
      <w:r w:rsidR="00A80157" w:rsidRPr="00B84813">
        <w:rPr>
          <w:rFonts w:ascii="Arial" w:hAnsi="Arial" w:cs="Arial"/>
          <w:color w:val="000000"/>
          <w:sz w:val="24"/>
          <w:szCs w:val="24"/>
        </w:rPr>
        <w:t>el acta</w:t>
      </w:r>
      <w:r w:rsidR="00A80157" w:rsidRPr="00B84813">
        <w:rPr>
          <w:rFonts w:ascii="Arial" w:hAnsi="Arial" w:cs="Arial"/>
          <w:color w:val="000000"/>
          <w:spacing w:val="1"/>
          <w:sz w:val="24"/>
          <w:szCs w:val="24"/>
        </w:rPr>
        <w:t xml:space="preserve"> </w:t>
      </w:r>
      <w:r w:rsidR="00A80157" w:rsidRPr="00B84813">
        <w:rPr>
          <w:rFonts w:ascii="Arial" w:hAnsi="Arial" w:cs="Arial"/>
          <w:color w:val="000000"/>
          <w:sz w:val="24"/>
          <w:szCs w:val="24"/>
        </w:rPr>
        <w:t>c</w:t>
      </w:r>
      <w:r w:rsidR="00A80157" w:rsidRPr="00B84813">
        <w:rPr>
          <w:rFonts w:ascii="Arial" w:hAnsi="Arial" w:cs="Arial"/>
          <w:color w:val="000000"/>
          <w:spacing w:val="-3"/>
          <w:sz w:val="24"/>
          <w:szCs w:val="24"/>
        </w:rPr>
        <w:t>o</w:t>
      </w:r>
      <w:r w:rsidR="00A80157" w:rsidRPr="00B84813">
        <w:rPr>
          <w:rFonts w:ascii="Arial" w:hAnsi="Arial" w:cs="Arial"/>
          <w:color w:val="000000"/>
          <w:spacing w:val="1"/>
          <w:sz w:val="24"/>
          <w:szCs w:val="24"/>
        </w:rPr>
        <w:t>rr</w:t>
      </w:r>
      <w:r w:rsidR="00A80157" w:rsidRPr="00B84813">
        <w:rPr>
          <w:rFonts w:ascii="Arial" w:hAnsi="Arial" w:cs="Arial"/>
          <w:color w:val="000000"/>
          <w:spacing w:val="-3"/>
          <w:sz w:val="24"/>
          <w:szCs w:val="24"/>
        </w:rPr>
        <w:t>e</w:t>
      </w:r>
      <w:r w:rsidR="00A80157" w:rsidRPr="00B84813">
        <w:rPr>
          <w:rFonts w:ascii="Arial" w:hAnsi="Arial" w:cs="Arial"/>
          <w:color w:val="000000"/>
          <w:sz w:val="24"/>
          <w:szCs w:val="24"/>
        </w:rPr>
        <w:t>sp</w:t>
      </w:r>
      <w:r w:rsidR="00A80157" w:rsidRPr="00B84813">
        <w:rPr>
          <w:rFonts w:ascii="Arial" w:hAnsi="Arial" w:cs="Arial"/>
          <w:color w:val="000000"/>
          <w:spacing w:val="-1"/>
          <w:sz w:val="24"/>
          <w:szCs w:val="24"/>
        </w:rPr>
        <w:t>o</w:t>
      </w:r>
      <w:r w:rsidR="00A80157" w:rsidRPr="00B84813">
        <w:rPr>
          <w:rFonts w:ascii="Arial" w:hAnsi="Arial" w:cs="Arial"/>
          <w:color w:val="000000"/>
          <w:sz w:val="24"/>
          <w:szCs w:val="24"/>
        </w:rPr>
        <w:t>n</w:t>
      </w:r>
      <w:r w:rsidR="00A80157" w:rsidRPr="00B84813">
        <w:rPr>
          <w:rFonts w:ascii="Arial" w:hAnsi="Arial" w:cs="Arial"/>
          <w:color w:val="000000"/>
          <w:spacing w:val="-1"/>
          <w:sz w:val="24"/>
          <w:szCs w:val="24"/>
        </w:rPr>
        <w:t>di</w:t>
      </w:r>
      <w:r w:rsidR="00A80157" w:rsidRPr="00B84813">
        <w:rPr>
          <w:rFonts w:ascii="Arial" w:hAnsi="Arial" w:cs="Arial"/>
          <w:color w:val="000000"/>
          <w:sz w:val="24"/>
          <w:szCs w:val="24"/>
        </w:rPr>
        <w:t>e</w:t>
      </w:r>
      <w:r w:rsidR="00A80157" w:rsidRPr="00B84813">
        <w:rPr>
          <w:rFonts w:ascii="Arial" w:hAnsi="Arial" w:cs="Arial"/>
          <w:color w:val="000000"/>
          <w:spacing w:val="-1"/>
          <w:sz w:val="24"/>
          <w:szCs w:val="24"/>
        </w:rPr>
        <w:t>n</w:t>
      </w:r>
      <w:r w:rsidR="00A80157" w:rsidRPr="00B84813">
        <w:rPr>
          <w:rFonts w:ascii="Arial" w:hAnsi="Arial" w:cs="Arial"/>
          <w:color w:val="000000"/>
          <w:spacing w:val="1"/>
          <w:sz w:val="24"/>
          <w:szCs w:val="24"/>
        </w:rPr>
        <w:t>t</w:t>
      </w:r>
      <w:r w:rsidR="00A80157"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lastRenderedPageBreak/>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 xml:space="preserve">ón </w:t>
      </w:r>
      <w:r w:rsidRPr="004024CB">
        <w:rPr>
          <w:rFonts w:ascii="Arial" w:hAnsi="Arial" w:cs="Arial"/>
          <w:color w:val="000000"/>
          <w:sz w:val="24"/>
          <w:szCs w:val="24"/>
        </w:rPr>
        <w:lastRenderedPageBreak/>
        <w:t>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30913">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FFFF00"/>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28763830" w:rsidR="00E87FCF" w:rsidRPr="004024CB" w:rsidRDefault="00E87FCF" w:rsidP="004C6750">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w:t>
            </w:r>
            <w:r w:rsidR="00576447">
              <w:rPr>
                <w:rFonts w:ascii="Arial" w:hAnsi="Arial" w:cs="Arial"/>
                <w:color w:val="000000"/>
                <w:sz w:val="20"/>
                <w:szCs w:val="20"/>
                <w:lang w:eastAsia="es-MX"/>
              </w:rPr>
              <w:t xml:space="preserve">credite la debida inscripción, </w:t>
            </w:r>
            <w:r w:rsidRPr="004024CB">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w:t>
            </w:r>
            <w:r w:rsidR="00D82347">
              <w:rPr>
                <w:rFonts w:ascii="Arial" w:hAnsi="Arial" w:cs="Arial"/>
                <w:color w:val="000000"/>
                <w:sz w:val="20"/>
                <w:szCs w:val="20"/>
                <w:lang w:eastAsia="es-MX"/>
              </w:rPr>
              <w:t xml:space="preserve">ios, con antigüedad no mayor a </w:t>
            </w:r>
            <w:r w:rsidRPr="004024CB">
              <w:rPr>
                <w:rFonts w:ascii="Arial" w:hAnsi="Arial" w:cs="Arial"/>
                <w:color w:val="000000"/>
                <w:sz w:val="20"/>
                <w:szCs w:val="20"/>
                <w:lang w:eastAsia="es-MX"/>
              </w:rPr>
              <w:t>sesenta días naturales a partir de la fecha de su emisión.</w:t>
            </w:r>
            <w:r w:rsidR="00576447">
              <w:rPr>
                <w:rFonts w:ascii="Arial" w:hAnsi="Arial" w:cs="Arial"/>
                <w:color w:val="000000"/>
                <w:sz w:val="20"/>
                <w:szCs w:val="20"/>
                <w:lang w:eastAsia="es-MX"/>
              </w:rPr>
              <w:t xml:space="preserve"> </w:t>
            </w:r>
            <w:r w:rsidR="00B332FD">
              <w:rPr>
                <w:rFonts w:ascii="Arial" w:hAnsi="Arial" w:cs="Arial"/>
                <w:color w:val="000000"/>
                <w:sz w:val="20"/>
                <w:szCs w:val="20"/>
                <w:lang w:eastAsia="es-MX"/>
              </w:rPr>
              <w:t xml:space="preserve">En caso de presentar </w:t>
            </w:r>
            <w:r w:rsidR="00576447">
              <w:rPr>
                <w:rFonts w:ascii="Arial" w:hAnsi="Arial" w:cs="Arial"/>
                <w:color w:val="000000"/>
                <w:sz w:val="20"/>
                <w:szCs w:val="20"/>
                <w:lang w:eastAsia="es-MX"/>
              </w:rPr>
              <w:t>p</w:t>
            </w:r>
            <w:r w:rsidR="00B332FD">
              <w:rPr>
                <w:rFonts w:ascii="Arial" w:hAnsi="Arial" w:cs="Arial"/>
                <w:color w:val="000000"/>
                <w:sz w:val="20"/>
                <w:szCs w:val="20"/>
                <w:lang w:eastAsia="es-MX"/>
              </w:rPr>
              <w:t>ropuesta, línea</w:t>
            </w:r>
            <w:r w:rsidR="00576447">
              <w:rPr>
                <w:rFonts w:ascii="Arial" w:hAnsi="Arial" w:cs="Arial"/>
                <w:color w:val="000000"/>
                <w:sz w:val="20"/>
                <w:szCs w:val="20"/>
                <w:lang w:eastAsia="es-MX"/>
              </w:rPr>
              <w:t xml:space="preserve"> de captura</w:t>
            </w:r>
            <w:r w:rsidR="00B332FD">
              <w:rPr>
                <w:rFonts w:ascii="Arial" w:hAnsi="Arial" w:cs="Arial"/>
                <w:color w:val="000000"/>
                <w:sz w:val="20"/>
                <w:szCs w:val="20"/>
                <w:lang w:eastAsia="es-MX"/>
              </w:rPr>
              <w:t>, resumen</w:t>
            </w:r>
            <w:r w:rsidR="00576447">
              <w:rPr>
                <w:rFonts w:ascii="Arial" w:hAnsi="Arial" w:cs="Arial"/>
                <w:color w:val="000000"/>
                <w:sz w:val="20"/>
                <w:szCs w:val="20"/>
                <w:lang w:eastAsia="es-MX"/>
              </w:rPr>
              <w:t xml:space="preserve"> o similar</w:t>
            </w:r>
            <w:r w:rsidR="00B332FD">
              <w:rPr>
                <w:rFonts w:ascii="Arial" w:hAnsi="Arial" w:cs="Arial"/>
                <w:color w:val="000000"/>
                <w:sz w:val="20"/>
                <w:szCs w:val="20"/>
                <w:lang w:eastAsia="es-MX"/>
              </w:rPr>
              <w:t xml:space="preserve"> se deberá acompañar la cédula de determinación de cuotas</w:t>
            </w:r>
            <w:r w:rsidR="00576447">
              <w:rPr>
                <w:rFonts w:ascii="Arial" w:hAnsi="Arial" w:cs="Arial"/>
                <w:color w:val="000000"/>
                <w:sz w:val="20"/>
                <w:szCs w:val="20"/>
                <w:lang w:eastAsia="es-MX"/>
              </w:rPr>
              <w:t>.</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 xml:space="preserve">Currículum o listado de </w:t>
            </w:r>
            <w:r w:rsidRPr="004024CB">
              <w:rPr>
                <w:rFonts w:ascii="Arial" w:hAnsi="Arial" w:cs="Arial"/>
                <w:color w:val="000000"/>
                <w:sz w:val="20"/>
                <w:szCs w:val="20"/>
                <w:lang w:eastAsia="es-MX"/>
              </w:rPr>
              <w:lastRenderedPageBreak/>
              <w:t>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lastRenderedPageBreak/>
              <w:t xml:space="preserve">Especificar el giro al que se dedica la empresa con los productos o servicios que oferta según su constancia de </w:t>
            </w:r>
            <w:r w:rsidRPr="004024CB">
              <w:rPr>
                <w:rFonts w:ascii="Arial" w:hAnsi="Arial" w:cs="Arial"/>
                <w:color w:val="000000"/>
                <w:sz w:val="20"/>
                <w:szCs w:val="20"/>
                <w:lang w:eastAsia="es-MX"/>
              </w:rPr>
              <w:lastRenderedPageBreak/>
              <w:t>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lastRenderedPageBreak/>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lastRenderedPageBreak/>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lastRenderedPageBreak/>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 xml:space="preserve">onvocante requiere un periodo mínimo de 30 treinta días naturales contados a </w:t>
      </w:r>
      <w:r w:rsidR="00E87FCF" w:rsidRPr="009C5C85">
        <w:rPr>
          <w:rFonts w:ascii="Arial" w:hAnsi="Arial" w:cs="Arial"/>
          <w:color w:val="000000"/>
          <w:spacing w:val="-3"/>
        </w:rPr>
        <w:lastRenderedPageBreak/>
        <w:t>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lastRenderedPageBreak/>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 xml:space="preserve">Las inconsistencias en este punto, serán motivo de </w:t>
      </w:r>
      <w:proofErr w:type="spellStart"/>
      <w:r w:rsidRPr="009C5C85">
        <w:rPr>
          <w:rFonts w:ascii="Arial" w:hAnsi="Arial" w:cs="Arial"/>
          <w:b/>
          <w:color w:val="000000"/>
          <w:spacing w:val="-3"/>
          <w:sz w:val="24"/>
          <w:szCs w:val="24"/>
        </w:rPr>
        <w:t>desechamiento</w:t>
      </w:r>
      <w:proofErr w:type="spellEnd"/>
      <w:r w:rsidRPr="009C5C85">
        <w:rPr>
          <w:rFonts w:ascii="Arial" w:hAnsi="Arial" w:cs="Arial"/>
          <w:b/>
          <w:color w:val="000000"/>
          <w:spacing w:val="-3"/>
          <w:sz w:val="24"/>
          <w:szCs w:val="24"/>
        </w:rPr>
        <w:t xml:space="preserve">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w:t>
      </w:r>
      <w:r w:rsidRPr="009C5C85">
        <w:rPr>
          <w:rFonts w:ascii="Arial" w:hAnsi="Arial" w:cs="Arial"/>
          <w:color w:val="000000"/>
          <w:spacing w:val="-3"/>
          <w:sz w:val="24"/>
          <w:szCs w:val="24"/>
        </w:rPr>
        <w:lastRenderedPageBreak/>
        <w:t xml:space="preserve">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lastRenderedPageBreak/>
        <w:t xml:space="preserve">Las inconsistencias en este punto, serán motivo de </w:t>
      </w:r>
      <w:proofErr w:type="spellStart"/>
      <w:r w:rsidRPr="009C5C85">
        <w:rPr>
          <w:rFonts w:ascii="Arial" w:hAnsi="Arial" w:cs="Arial"/>
          <w:b/>
          <w:color w:val="000000"/>
          <w:spacing w:val="-1"/>
          <w:sz w:val="24"/>
          <w:szCs w:val="24"/>
        </w:rPr>
        <w:t>desechamiento</w:t>
      </w:r>
      <w:proofErr w:type="spellEnd"/>
      <w:r w:rsidRPr="009C5C85">
        <w:rPr>
          <w:rFonts w:ascii="Arial" w:hAnsi="Arial" w:cs="Arial"/>
          <w:b/>
          <w:color w:val="000000"/>
          <w:spacing w:val="-1"/>
          <w:sz w:val="24"/>
          <w:szCs w:val="24"/>
        </w:rPr>
        <w:t xml:space="preserve">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proofErr w:type="spellStart"/>
      <w:r w:rsidRPr="009C5C85">
        <w:rPr>
          <w:rFonts w:ascii="Arial" w:hAnsi="Arial" w:cs="Arial"/>
          <w:b/>
          <w:color w:val="000000"/>
          <w:sz w:val="24"/>
          <w:szCs w:val="24"/>
        </w:rPr>
        <w:t>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proofErr w:type="spellEnd"/>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w:t>
      </w:r>
      <w:r w:rsidRPr="00715B8F">
        <w:rPr>
          <w:rFonts w:ascii="Arial" w:eastAsia="Times New Roman" w:hAnsi="Arial" w:cs="Arial"/>
          <w:color w:val="538135" w:themeColor="accent6" w:themeShade="BF"/>
          <w:sz w:val="24"/>
          <w:szCs w:val="24"/>
          <w:lang w:val="es-ES" w:eastAsia="es-ES"/>
        </w:rPr>
        <w:lastRenderedPageBreak/>
        <w:t>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47093224" w:rsidR="00D25F1E"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205CA01E" w14:textId="77777777" w:rsidR="00576447" w:rsidRDefault="00576447" w:rsidP="00576447">
      <w:pPr>
        <w:pStyle w:val="Prrafodelista"/>
        <w:rPr>
          <w:rFonts w:ascii="Arial" w:hAnsi="Arial" w:cs="Arial"/>
        </w:rPr>
      </w:pPr>
    </w:p>
    <w:p w14:paraId="46D57967" w14:textId="0158651F" w:rsidR="00576447" w:rsidRPr="00721713" w:rsidRDefault="00576447" w:rsidP="00D25F1E">
      <w:pPr>
        <w:numPr>
          <w:ilvl w:val="0"/>
          <w:numId w:val="1"/>
        </w:numPr>
        <w:spacing w:after="0" w:line="240" w:lineRule="auto"/>
        <w:contextualSpacing/>
        <w:jc w:val="both"/>
        <w:rPr>
          <w:rFonts w:ascii="Arial" w:eastAsia="Times New Roman" w:hAnsi="Arial" w:cs="Arial"/>
          <w:sz w:val="24"/>
          <w:szCs w:val="24"/>
          <w:lang w:val="es-ES" w:eastAsia="es-ES"/>
        </w:rPr>
      </w:pPr>
      <w:r w:rsidRPr="00B332FD">
        <w:rPr>
          <w:rFonts w:ascii="Arial" w:eastAsia="Times New Roman" w:hAnsi="Arial" w:cs="Arial"/>
          <w:sz w:val="24"/>
          <w:szCs w:val="24"/>
          <w:highlight w:val="green"/>
          <w:lang w:val="es-ES" w:eastAsia="es-ES"/>
        </w:rPr>
        <w:t>No asistir a la Junta de Aclaraciones en la fecha, hora y lugar señalados en el punto 2 de estas bases.</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lastRenderedPageBreak/>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0AA2382F" w:rsidR="00D25F1E"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2D2F4AFE" w14:textId="77777777" w:rsidR="00576447" w:rsidRPr="00576447" w:rsidRDefault="00576447" w:rsidP="00576447">
      <w:pPr>
        <w:pStyle w:val="Prrafodelista"/>
        <w:rPr>
          <w:rFonts w:ascii="Arial" w:hAnsi="Arial" w:cs="Arial"/>
          <w:color w:val="000000"/>
        </w:rPr>
      </w:pPr>
    </w:p>
    <w:p w14:paraId="0C5206F8" w14:textId="6B77C884" w:rsidR="00576447" w:rsidRPr="00846876" w:rsidRDefault="00576447"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B332FD">
        <w:rPr>
          <w:rFonts w:ascii="Arial" w:hAnsi="Arial" w:cs="Arial"/>
          <w:highlight w:val="green"/>
        </w:rPr>
        <w:t>No asistir a la Junta de Aclaraciones en la fecha, hora y lugar señalados en el punto 2 de estas bases</w:t>
      </w:r>
      <w:r w:rsidR="00B332FD" w:rsidRPr="00B332FD">
        <w:rPr>
          <w:rFonts w:ascii="Arial" w:hAnsi="Arial" w:cs="Arial"/>
          <w:highlight w:val="green"/>
        </w:rPr>
        <w:t>.</w:t>
      </w:r>
    </w:p>
    <w:p w14:paraId="54AEC761" w14:textId="2EC6CECB" w:rsidR="00D25F1E" w:rsidRPr="00846876" w:rsidRDefault="00D25F1E" w:rsidP="00846876">
      <w:pPr>
        <w:pStyle w:val="Ttulo1"/>
      </w:pPr>
      <w:bookmarkStart w:id="26" w:name="_Toc135041703"/>
      <w:r w:rsidRPr="00846876">
        <w:lastRenderedPageBreak/>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w:t>
      </w:r>
      <w:r w:rsidRPr="00721713">
        <w:rPr>
          <w:rFonts w:ascii="Arial" w:eastAsia="Times New Roman" w:hAnsi="Arial" w:cs="Arial"/>
          <w:color w:val="000000"/>
          <w:spacing w:val="-1"/>
          <w:sz w:val="24"/>
          <w:szCs w:val="24"/>
          <w:lang w:val="es-ES" w:eastAsia="es-ES"/>
        </w:rPr>
        <w:lastRenderedPageBreak/>
        <w:t>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2371D3E8"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0018553B">
        <w:rPr>
          <w:rFonts w:ascii="Arial" w:eastAsia="Times New Roman" w:hAnsi="Arial" w:cs="Arial"/>
          <w:color w:val="000000"/>
          <w:sz w:val="24"/>
          <w:szCs w:val="24"/>
          <w:lang w:val="es-ES" w:eastAsia="es-ES"/>
        </w:rPr>
        <w:t>, cuando aplique.</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lastRenderedPageBreak/>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w:t>
      </w:r>
      <w:r w:rsidR="00C97CB8" w:rsidRPr="00932C85">
        <w:rPr>
          <w:rFonts w:ascii="Arial" w:eastAsia="Times New Roman" w:hAnsi="Arial" w:cs="Arial"/>
          <w:color w:val="000000"/>
          <w:sz w:val="24"/>
          <w:szCs w:val="24"/>
          <w:lang w:val="es-ES" w:eastAsia="es-ES"/>
        </w:rPr>
        <w:lastRenderedPageBreak/>
        <w:t>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2496E63" w14:textId="745B8C54" w:rsidR="005615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w:t>
      </w:r>
      <w:r w:rsidR="00D3650B">
        <w:rPr>
          <w:rFonts w:ascii="Arial" w:eastAsia="Times New Roman" w:hAnsi="Arial" w:cs="Arial"/>
          <w:b/>
          <w:color w:val="000000"/>
          <w:sz w:val="24"/>
          <w:szCs w:val="24"/>
          <w:lang w:val="es-ES" w:eastAsia="es-ES"/>
        </w:rPr>
        <w:lastRenderedPageBreak/>
        <w:t>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0B60663" w:rsidR="00D25F1E" w:rsidRDefault="00D25F1E" w:rsidP="004C6750">
      <w:pPr>
        <w:widowControl w:val="0"/>
        <w:numPr>
          <w:ilvl w:val="0"/>
          <w:numId w:val="10"/>
        </w:numPr>
        <w:autoSpaceDE w:val="0"/>
        <w:autoSpaceDN w:val="0"/>
        <w:adjustRightInd w:val="0"/>
        <w:spacing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w:t>
      </w:r>
      <w:r w:rsidRPr="00721713">
        <w:rPr>
          <w:rFonts w:ascii="Arial" w:eastAsia="Times New Roman" w:hAnsi="Arial" w:cs="Arial"/>
          <w:color w:val="000000"/>
          <w:spacing w:val="-1"/>
          <w:sz w:val="24"/>
          <w:szCs w:val="24"/>
          <w:lang w:val="es-ES" w:eastAsia="es-ES"/>
        </w:rPr>
        <w:lastRenderedPageBreak/>
        <w:t xml:space="preserve">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w:t>
      </w:r>
      <w:r w:rsidR="00CF129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ingresar pago.</w:t>
      </w:r>
    </w:p>
    <w:p w14:paraId="221FD5DD" w14:textId="77777777" w:rsidR="004C6750" w:rsidRPr="00721713" w:rsidRDefault="004C6750" w:rsidP="004C6750">
      <w:pPr>
        <w:widowControl w:val="0"/>
        <w:autoSpaceDE w:val="0"/>
        <w:autoSpaceDN w:val="0"/>
        <w:adjustRightInd w:val="0"/>
        <w:spacing w:line="258" w:lineRule="auto"/>
        <w:ind w:left="460" w:right="60"/>
        <w:contextualSpacing/>
        <w:jc w:val="both"/>
        <w:rPr>
          <w:rFonts w:ascii="Arial" w:eastAsia="Times New Roman" w:hAnsi="Arial" w:cs="Arial"/>
          <w:color w:val="000000"/>
          <w:spacing w:val="-1"/>
          <w:sz w:val="24"/>
          <w:szCs w:val="24"/>
          <w:lang w:val="es-ES" w:eastAsia="es-ES"/>
        </w:rPr>
      </w:pPr>
    </w:p>
    <w:p w14:paraId="614BD6D0" w14:textId="52DF7680"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en la junta de aclaraciones,</w:t>
      </w:r>
      <w:r w:rsidR="004C72A3">
        <w:rPr>
          <w:rFonts w:ascii="Arial" w:eastAsia="Times New Roman" w:hAnsi="Arial" w:cs="Arial"/>
          <w:color w:val="000000"/>
          <w:spacing w:val="-1"/>
          <w:sz w:val="24"/>
          <w:szCs w:val="24"/>
          <w:lang w:val="es-ES" w:eastAsia="es-ES"/>
        </w:rPr>
        <w:t xml:space="preserve"> o en las presentes bases,</w:t>
      </w:r>
      <w:r w:rsidRPr="00721713">
        <w:rPr>
          <w:rFonts w:ascii="Arial" w:eastAsia="Times New Roman" w:hAnsi="Arial" w:cs="Arial"/>
          <w:color w:val="000000"/>
          <w:spacing w:val="-1"/>
          <w:sz w:val="24"/>
          <w:szCs w:val="24"/>
          <w:lang w:val="es-ES" w:eastAsia="es-ES"/>
        </w:rPr>
        <w:t xml:space="preserve">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lastRenderedPageBreak/>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30204872" w:rsid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6188148E" w14:textId="79EFE444" w:rsidR="0018553B" w:rsidRDefault="0018553B" w:rsidP="00A45D71">
      <w:pPr>
        <w:spacing w:after="0" w:line="240" w:lineRule="auto"/>
        <w:jc w:val="both"/>
        <w:rPr>
          <w:rFonts w:ascii="Arial" w:eastAsia="Times New Roman" w:hAnsi="Arial" w:cs="Arial"/>
          <w:b/>
          <w:i/>
          <w:sz w:val="24"/>
          <w:szCs w:val="24"/>
          <w:u w:val="single"/>
          <w:lang w:val="es-ES" w:eastAsia="es-ES"/>
        </w:rPr>
      </w:pPr>
    </w:p>
    <w:p w14:paraId="07A679A9" w14:textId="12D50489" w:rsidR="00B332FD" w:rsidRPr="00A05111" w:rsidRDefault="0018553B" w:rsidP="00B332F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18553B">
        <w:rPr>
          <w:rStyle w:val="Refdecomentario"/>
          <w:rFonts w:ascii="Arial" w:hAnsi="Arial" w:cs="Arial"/>
          <w:sz w:val="24"/>
          <w:szCs w:val="24"/>
        </w:rPr>
        <w:t/>
      </w:r>
      <w:bookmarkStart w:id="47" w:name="_Toc135041724"/>
      <w:r w:rsidR="00B332FD" w:rsidRPr="00B332FD">
        <w:rPr>
          <w:rFonts w:ascii="Arial" w:eastAsia="Times New Roman" w:hAnsi="Arial" w:cs="Arial"/>
          <w:color w:val="000000"/>
          <w:spacing w:val="-1"/>
          <w:sz w:val="24"/>
          <w:szCs w:val="24"/>
          <w:lang w:val="es-ES" w:eastAsia="es-ES"/>
        </w:rPr>
        <w:t xml:space="preserve"> </w:t>
      </w:r>
      <w:r w:rsidR="00B332FD" w:rsidRPr="00721713">
        <w:rPr>
          <w:rFonts w:ascii="Arial" w:eastAsia="Times New Roman" w:hAnsi="Arial" w:cs="Arial"/>
          <w:color w:val="000000"/>
          <w:spacing w:val="-1"/>
          <w:sz w:val="24"/>
          <w:szCs w:val="24"/>
          <w:lang w:val="es-ES" w:eastAsia="es-ES"/>
        </w:rPr>
        <w:t>S</w:t>
      </w:r>
      <w:r w:rsidR="00B332FD" w:rsidRPr="006C35D6">
        <w:rPr>
          <w:rFonts w:ascii="Arial" w:eastAsia="Times New Roman" w:hAnsi="Arial" w:cs="Arial"/>
          <w:color w:val="000000"/>
          <w:spacing w:val="-1"/>
          <w:sz w:val="24"/>
          <w:szCs w:val="24"/>
          <w:lang w:val="es-ES" w:eastAsia="es-ES"/>
        </w:rPr>
        <w:t>e a</w:t>
      </w:r>
      <w:r w:rsidR="00B332FD" w:rsidRPr="00721713">
        <w:rPr>
          <w:rFonts w:ascii="Arial" w:eastAsia="Times New Roman" w:hAnsi="Arial" w:cs="Arial"/>
          <w:color w:val="000000"/>
          <w:spacing w:val="-1"/>
          <w:sz w:val="24"/>
          <w:szCs w:val="24"/>
          <w:lang w:val="es-ES" w:eastAsia="es-ES"/>
        </w:rPr>
        <w:t>pli</w:t>
      </w:r>
      <w:r w:rsidR="00B332FD" w:rsidRPr="006C35D6">
        <w:rPr>
          <w:rFonts w:ascii="Arial" w:eastAsia="Times New Roman" w:hAnsi="Arial" w:cs="Arial"/>
          <w:color w:val="000000"/>
          <w:spacing w:val="-1"/>
          <w:sz w:val="24"/>
          <w:szCs w:val="24"/>
          <w:lang w:val="es-ES" w:eastAsia="es-ES"/>
        </w:rPr>
        <w:t>cará u</w:t>
      </w:r>
      <w:r w:rsidR="00B332FD" w:rsidRPr="00721713">
        <w:rPr>
          <w:rFonts w:ascii="Arial" w:eastAsia="Times New Roman" w:hAnsi="Arial" w:cs="Arial"/>
          <w:color w:val="000000"/>
          <w:spacing w:val="-1"/>
          <w:sz w:val="24"/>
          <w:szCs w:val="24"/>
          <w:lang w:val="es-ES" w:eastAsia="es-ES"/>
        </w:rPr>
        <w:t>n</w:t>
      </w:r>
      <w:r w:rsidR="00B332FD" w:rsidRPr="006C35D6">
        <w:rPr>
          <w:rFonts w:ascii="Arial" w:eastAsia="Times New Roman" w:hAnsi="Arial" w:cs="Arial"/>
          <w:color w:val="000000"/>
          <w:spacing w:val="-1"/>
          <w:sz w:val="24"/>
          <w:szCs w:val="24"/>
          <w:lang w:val="es-ES" w:eastAsia="es-ES"/>
        </w:rPr>
        <w:t>a p</w:t>
      </w:r>
      <w:r w:rsidR="00B332FD" w:rsidRPr="00721713">
        <w:rPr>
          <w:rFonts w:ascii="Arial" w:eastAsia="Times New Roman" w:hAnsi="Arial" w:cs="Arial"/>
          <w:color w:val="000000"/>
          <w:spacing w:val="-1"/>
          <w:sz w:val="24"/>
          <w:szCs w:val="24"/>
          <w:lang w:val="es-ES" w:eastAsia="es-ES"/>
        </w:rPr>
        <w:t>e</w:t>
      </w:r>
      <w:r w:rsidR="00B332FD" w:rsidRPr="006C35D6">
        <w:rPr>
          <w:rFonts w:ascii="Arial" w:eastAsia="Times New Roman" w:hAnsi="Arial" w:cs="Arial"/>
          <w:color w:val="000000"/>
          <w:spacing w:val="-1"/>
          <w:sz w:val="24"/>
          <w:szCs w:val="24"/>
          <w:lang w:val="es-ES" w:eastAsia="es-ES"/>
        </w:rPr>
        <w:t>na co</w:t>
      </w:r>
      <w:r w:rsidR="00B332FD" w:rsidRPr="00721713">
        <w:rPr>
          <w:rFonts w:ascii="Arial" w:eastAsia="Times New Roman" w:hAnsi="Arial" w:cs="Arial"/>
          <w:color w:val="000000"/>
          <w:spacing w:val="-1"/>
          <w:sz w:val="24"/>
          <w:szCs w:val="24"/>
          <w:lang w:val="es-ES" w:eastAsia="es-ES"/>
        </w:rPr>
        <w:t>n</w:t>
      </w:r>
      <w:r w:rsidR="00B332FD" w:rsidRPr="006C35D6">
        <w:rPr>
          <w:rFonts w:ascii="Arial" w:eastAsia="Times New Roman" w:hAnsi="Arial" w:cs="Arial"/>
          <w:color w:val="000000"/>
          <w:spacing w:val="-1"/>
          <w:sz w:val="24"/>
          <w:szCs w:val="24"/>
          <w:lang w:val="es-ES" w:eastAsia="es-ES"/>
        </w:rPr>
        <w:t>venc</w:t>
      </w:r>
      <w:r w:rsidR="00B332FD" w:rsidRPr="00721713">
        <w:rPr>
          <w:rFonts w:ascii="Arial" w:eastAsia="Times New Roman" w:hAnsi="Arial" w:cs="Arial"/>
          <w:color w:val="000000"/>
          <w:spacing w:val="-1"/>
          <w:sz w:val="24"/>
          <w:szCs w:val="24"/>
          <w:lang w:val="es-ES" w:eastAsia="es-ES"/>
        </w:rPr>
        <w:t>i</w:t>
      </w:r>
      <w:r w:rsidR="00B332FD" w:rsidRPr="006C35D6">
        <w:rPr>
          <w:rFonts w:ascii="Arial" w:eastAsia="Times New Roman" w:hAnsi="Arial" w:cs="Arial"/>
          <w:color w:val="000000"/>
          <w:spacing w:val="-1"/>
          <w:sz w:val="24"/>
          <w:szCs w:val="24"/>
          <w:lang w:val="es-ES" w:eastAsia="es-ES"/>
        </w:rPr>
        <w:t>o</w:t>
      </w:r>
      <w:r w:rsidR="00B332FD" w:rsidRPr="00721713">
        <w:rPr>
          <w:rFonts w:ascii="Arial" w:eastAsia="Times New Roman" w:hAnsi="Arial" w:cs="Arial"/>
          <w:color w:val="000000"/>
          <w:spacing w:val="-1"/>
          <w:sz w:val="24"/>
          <w:szCs w:val="24"/>
          <w:lang w:val="es-ES" w:eastAsia="es-ES"/>
        </w:rPr>
        <w:t>n</w:t>
      </w:r>
      <w:r w:rsidR="00B332FD" w:rsidRPr="006C35D6">
        <w:rPr>
          <w:rFonts w:ascii="Arial" w:eastAsia="Times New Roman" w:hAnsi="Arial" w:cs="Arial"/>
          <w:color w:val="000000"/>
          <w:spacing w:val="-1"/>
          <w:sz w:val="24"/>
          <w:szCs w:val="24"/>
          <w:lang w:val="es-ES" w:eastAsia="es-ES"/>
        </w:rPr>
        <w:t>al so</w:t>
      </w:r>
      <w:r w:rsidR="00B332FD" w:rsidRPr="00721713">
        <w:rPr>
          <w:rFonts w:ascii="Arial" w:eastAsia="Times New Roman" w:hAnsi="Arial" w:cs="Arial"/>
          <w:color w:val="000000"/>
          <w:spacing w:val="-1"/>
          <w:sz w:val="24"/>
          <w:szCs w:val="24"/>
          <w:lang w:val="es-ES" w:eastAsia="es-ES"/>
        </w:rPr>
        <w:t>b</w:t>
      </w:r>
      <w:r w:rsidR="00B332FD" w:rsidRPr="006C35D6">
        <w:rPr>
          <w:rFonts w:ascii="Arial" w:eastAsia="Times New Roman" w:hAnsi="Arial" w:cs="Arial"/>
          <w:color w:val="000000"/>
          <w:spacing w:val="-1"/>
          <w:sz w:val="24"/>
          <w:szCs w:val="24"/>
          <w:lang w:val="es-ES" w:eastAsia="es-ES"/>
        </w:rPr>
        <w:t xml:space="preserve">re el </w:t>
      </w:r>
      <w:r w:rsidR="00B332FD" w:rsidRPr="00721713">
        <w:rPr>
          <w:rFonts w:ascii="Arial" w:eastAsia="Times New Roman" w:hAnsi="Arial" w:cs="Arial"/>
          <w:color w:val="000000"/>
          <w:spacing w:val="-1"/>
          <w:sz w:val="24"/>
          <w:szCs w:val="24"/>
          <w:lang w:val="es-ES" w:eastAsia="es-ES"/>
        </w:rPr>
        <w:t>i</w:t>
      </w:r>
      <w:r w:rsidR="00B332FD" w:rsidRPr="006C35D6">
        <w:rPr>
          <w:rFonts w:ascii="Arial" w:eastAsia="Times New Roman" w:hAnsi="Arial" w:cs="Arial"/>
          <w:color w:val="000000"/>
          <w:spacing w:val="-1"/>
          <w:sz w:val="24"/>
          <w:szCs w:val="24"/>
          <w:lang w:val="es-ES" w:eastAsia="es-ES"/>
        </w:rPr>
        <w:t>mp</w:t>
      </w:r>
      <w:r w:rsidR="00B332FD" w:rsidRPr="00721713">
        <w:rPr>
          <w:rFonts w:ascii="Arial" w:eastAsia="Times New Roman" w:hAnsi="Arial" w:cs="Arial"/>
          <w:color w:val="000000"/>
          <w:spacing w:val="-1"/>
          <w:sz w:val="24"/>
          <w:szCs w:val="24"/>
          <w:lang w:val="es-ES" w:eastAsia="es-ES"/>
        </w:rPr>
        <w:t>o</w:t>
      </w:r>
      <w:r w:rsidR="00B332FD" w:rsidRPr="006C35D6">
        <w:rPr>
          <w:rFonts w:ascii="Arial" w:eastAsia="Times New Roman" w:hAnsi="Arial" w:cs="Arial"/>
          <w:color w:val="000000"/>
          <w:spacing w:val="-1"/>
          <w:sz w:val="24"/>
          <w:szCs w:val="24"/>
          <w:lang w:val="es-ES" w:eastAsia="es-ES"/>
        </w:rPr>
        <w:t xml:space="preserve">rte de </w:t>
      </w:r>
      <w:r w:rsidR="00B332FD" w:rsidRPr="00721713">
        <w:rPr>
          <w:rFonts w:ascii="Arial" w:eastAsia="Times New Roman" w:hAnsi="Arial" w:cs="Arial"/>
          <w:color w:val="000000"/>
          <w:spacing w:val="-1"/>
          <w:sz w:val="24"/>
          <w:szCs w:val="24"/>
          <w:lang w:val="es-ES" w:eastAsia="es-ES"/>
        </w:rPr>
        <w:t>l</w:t>
      </w:r>
      <w:r w:rsidR="00B332FD" w:rsidRPr="006C35D6">
        <w:rPr>
          <w:rFonts w:ascii="Arial" w:eastAsia="Times New Roman" w:hAnsi="Arial" w:cs="Arial"/>
          <w:color w:val="000000"/>
          <w:spacing w:val="-1"/>
          <w:sz w:val="24"/>
          <w:szCs w:val="24"/>
          <w:lang w:val="es-ES" w:eastAsia="es-ES"/>
        </w:rPr>
        <w:t>os bienes y/o</w:t>
      </w:r>
      <w:r w:rsidR="00B332FD">
        <w:rPr>
          <w:rFonts w:ascii="Arial" w:eastAsia="Times New Roman" w:hAnsi="Arial" w:cs="Arial"/>
          <w:color w:val="000000"/>
          <w:spacing w:val="29"/>
          <w:sz w:val="24"/>
          <w:szCs w:val="24"/>
          <w:lang w:val="es-ES" w:eastAsia="es-ES"/>
        </w:rPr>
        <w:t xml:space="preserve"> </w:t>
      </w:r>
      <w:r w:rsidR="00B332FD" w:rsidRPr="00721713">
        <w:rPr>
          <w:rFonts w:ascii="Arial" w:eastAsia="Times New Roman" w:hAnsi="Arial" w:cs="Arial"/>
          <w:color w:val="000000"/>
          <w:sz w:val="24"/>
          <w:szCs w:val="24"/>
          <w:lang w:val="es-ES" w:eastAsia="es-ES"/>
        </w:rPr>
        <w:t>s</w:t>
      </w:r>
      <w:r w:rsidR="00B332FD" w:rsidRPr="00721713">
        <w:rPr>
          <w:rFonts w:ascii="Arial" w:eastAsia="Times New Roman" w:hAnsi="Arial" w:cs="Arial"/>
          <w:color w:val="000000"/>
          <w:spacing w:val="-3"/>
          <w:sz w:val="24"/>
          <w:szCs w:val="24"/>
          <w:lang w:val="es-ES" w:eastAsia="es-ES"/>
        </w:rPr>
        <w:t>e</w:t>
      </w:r>
      <w:r w:rsidR="00B332FD" w:rsidRPr="00721713">
        <w:rPr>
          <w:rFonts w:ascii="Arial" w:eastAsia="Times New Roman" w:hAnsi="Arial" w:cs="Arial"/>
          <w:color w:val="000000"/>
          <w:spacing w:val="1"/>
          <w:sz w:val="24"/>
          <w:szCs w:val="24"/>
          <w:lang w:val="es-ES" w:eastAsia="es-ES"/>
        </w:rPr>
        <w:t>r</w:t>
      </w:r>
      <w:r w:rsidR="00B332FD" w:rsidRPr="00721713">
        <w:rPr>
          <w:rFonts w:ascii="Arial" w:eastAsia="Times New Roman" w:hAnsi="Arial" w:cs="Arial"/>
          <w:color w:val="000000"/>
          <w:spacing w:val="-2"/>
          <w:sz w:val="24"/>
          <w:szCs w:val="24"/>
          <w:lang w:val="es-ES" w:eastAsia="es-ES"/>
        </w:rPr>
        <w:t>v</w:t>
      </w:r>
      <w:r w:rsidR="00B332FD" w:rsidRPr="00721713">
        <w:rPr>
          <w:rFonts w:ascii="Arial" w:eastAsia="Times New Roman" w:hAnsi="Arial" w:cs="Arial"/>
          <w:color w:val="000000"/>
          <w:spacing w:val="-1"/>
          <w:sz w:val="24"/>
          <w:szCs w:val="24"/>
          <w:lang w:val="es-ES" w:eastAsia="es-ES"/>
        </w:rPr>
        <w:t>i</w:t>
      </w:r>
      <w:r w:rsidR="00B332FD" w:rsidRPr="00721713">
        <w:rPr>
          <w:rFonts w:ascii="Arial" w:eastAsia="Times New Roman" w:hAnsi="Arial" w:cs="Arial"/>
          <w:color w:val="000000"/>
          <w:sz w:val="24"/>
          <w:szCs w:val="24"/>
          <w:lang w:val="es-ES" w:eastAsia="es-ES"/>
        </w:rPr>
        <w:t>c</w:t>
      </w:r>
      <w:r w:rsidR="00B332FD" w:rsidRPr="00721713">
        <w:rPr>
          <w:rFonts w:ascii="Arial" w:eastAsia="Times New Roman" w:hAnsi="Arial" w:cs="Arial"/>
          <w:color w:val="000000"/>
          <w:spacing w:val="-1"/>
          <w:sz w:val="24"/>
          <w:szCs w:val="24"/>
          <w:lang w:val="es-ES" w:eastAsia="es-ES"/>
        </w:rPr>
        <w:t>i</w:t>
      </w:r>
      <w:r w:rsidR="00B332FD" w:rsidRPr="00721713">
        <w:rPr>
          <w:rFonts w:ascii="Arial" w:eastAsia="Times New Roman" w:hAnsi="Arial" w:cs="Arial"/>
          <w:color w:val="000000"/>
          <w:sz w:val="24"/>
          <w:szCs w:val="24"/>
          <w:lang w:val="es-ES" w:eastAsia="es-ES"/>
        </w:rPr>
        <w:t>os</w:t>
      </w:r>
      <w:r w:rsidR="00B332FD">
        <w:rPr>
          <w:rFonts w:ascii="Arial" w:eastAsia="Times New Roman" w:hAnsi="Arial" w:cs="Arial"/>
          <w:color w:val="000000"/>
          <w:sz w:val="24"/>
          <w:szCs w:val="24"/>
          <w:lang w:val="es-ES" w:eastAsia="es-ES"/>
        </w:rPr>
        <w:t xml:space="preserve"> objeto del</w:t>
      </w:r>
      <w:r w:rsidR="00B332FD" w:rsidRPr="00721713">
        <w:rPr>
          <w:rFonts w:ascii="Arial" w:eastAsia="Times New Roman" w:hAnsi="Arial" w:cs="Arial"/>
          <w:color w:val="000000"/>
          <w:spacing w:val="34"/>
          <w:sz w:val="24"/>
          <w:szCs w:val="24"/>
          <w:lang w:val="es-ES" w:eastAsia="es-ES"/>
        </w:rPr>
        <w:t xml:space="preserve"> </w:t>
      </w:r>
      <w:r w:rsidR="00B332FD" w:rsidRPr="006C35D6">
        <w:rPr>
          <w:rFonts w:ascii="Arial" w:eastAsia="Times New Roman" w:hAnsi="Arial" w:cs="Arial"/>
          <w:color w:val="000000"/>
          <w:spacing w:val="-1"/>
          <w:sz w:val="24"/>
          <w:szCs w:val="24"/>
          <w:lang w:val="es-ES" w:eastAsia="es-ES"/>
        </w:rPr>
        <w:t>contrato</w:t>
      </w:r>
      <w:r w:rsidR="00B332FD" w:rsidRPr="00A05111">
        <w:rPr>
          <w:rFonts w:ascii="Arial" w:eastAsia="Times New Roman" w:hAnsi="Arial" w:cs="Arial"/>
          <w:color w:val="000000"/>
          <w:spacing w:val="-1"/>
          <w:sz w:val="24"/>
          <w:szCs w:val="24"/>
          <w:lang w:val="es-ES" w:eastAsia="es-ES"/>
        </w:rPr>
        <w:t xml:space="preserve">, </w:t>
      </w:r>
      <w:r w:rsidR="00B332FD" w:rsidRPr="00A05111">
        <w:rPr>
          <w:rFonts w:ascii="Arial" w:eastAsia="Times New Roman" w:hAnsi="Arial" w:cs="Arial"/>
          <w:color w:val="000000"/>
          <w:spacing w:val="-1"/>
          <w:sz w:val="24"/>
          <w:szCs w:val="24"/>
          <w:u w:val="single"/>
          <w:lang w:val="es-ES" w:eastAsia="es-ES"/>
        </w:rPr>
        <w:t>entregados</w:t>
      </w:r>
      <w:r w:rsidR="00B332FD" w:rsidRPr="00A05111">
        <w:rPr>
          <w:rFonts w:ascii="Arial" w:eastAsia="Times New Roman" w:hAnsi="Arial" w:cs="Arial"/>
          <w:color w:val="000000"/>
          <w:spacing w:val="29"/>
          <w:sz w:val="24"/>
          <w:szCs w:val="24"/>
          <w:u w:val="single"/>
          <w:lang w:val="es-ES" w:eastAsia="es-ES"/>
        </w:rPr>
        <w:t xml:space="preserve"> </w:t>
      </w:r>
      <w:r w:rsidR="00B332FD" w:rsidRPr="00A05111">
        <w:rPr>
          <w:rFonts w:ascii="Arial" w:eastAsia="Times New Roman" w:hAnsi="Arial" w:cs="Arial"/>
          <w:color w:val="000000"/>
          <w:sz w:val="24"/>
          <w:szCs w:val="24"/>
          <w:u w:val="single"/>
          <w:lang w:val="es-ES" w:eastAsia="es-ES"/>
        </w:rPr>
        <w:t xml:space="preserve">con </w:t>
      </w:r>
      <w:r w:rsidR="00B332FD" w:rsidRPr="00A05111">
        <w:rPr>
          <w:rFonts w:ascii="Arial" w:eastAsia="Times New Roman" w:hAnsi="Arial" w:cs="Arial"/>
          <w:color w:val="000000"/>
          <w:spacing w:val="1"/>
          <w:sz w:val="24"/>
          <w:szCs w:val="24"/>
          <w:u w:val="single"/>
          <w:lang w:val="es-ES" w:eastAsia="es-ES"/>
        </w:rPr>
        <w:t>r</w:t>
      </w:r>
      <w:r w:rsidR="00B332FD" w:rsidRPr="00A05111">
        <w:rPr>
          <w:rFonts w:ascii="Arial" w:eastAsia="Times New Roman" w:hAnsi="Arial" w:cs="Arial"/>
          <w:color w:val="000000"/>
          <w:sz w:val="24"/>
          <w:szCs w:val="24"/>
          <w:u w:val="single"/>
          <w:lang w:val="es-ES" w:eastAsia="es-ES"/>
        </w:rPr>
        <w:t>et</w:t>
      </w:r>
      <w:r w:rsidR="00B332FD" w:rsidRPr="00A05111">
        <w:rPr>
          <w:rFonts w:ascii="Arial" w:eastAsia="Times New Roman" w:hAnsi="Arial" w:cs="Arial"/>
          <w:color w:val="000000"/>
          <w:spacing w:val="-1"/>
          <w:sz w:val="24"/>
          <w:szCs w:val="24"/>
          <w:u w:val="single"/>
          <w:lang w:val="es-ES" w:eastAsia="es-ES"/>
        </w:rPr>
        <w:t>r</w:t>
      </w:r>
      <w:r w:rsidR="00B332FD" w:rsidRPr="00A05111">
        <w:rPr>
          <w:rFonts w:ascii="Arial" w:eastAsia="Times New Roman" w:hAnsi="Arial" w:cs="Arial"/>
          <w:color w:val="000000"/>
          <w:sz w:val="24"/>
          <w:szCs w:val="24"/>
          <w:u w:val="single"/>
          <w:lang w:val="es-ES" w:eastAsia="es-ES"/>
        </w:rPr>
        <w:t>aso</w:t>
      </w:r>
      <w:r w:rsidR="00B332FD" w:rsidRPr="00A05111">
        <w:rPr>
          <w:rFonts w:ascii="Arial" w:eastAsia="Times New Roman" w:hAnsi="Arial" w:cs="Arial"/>
          <w:color w:val="000000"/>
          <w:sz w:val="24"/>
          <w:szCs w:val="24"/>
          <w:lang w:val="es-ES" w:eastAsia="es-ES"/>
        </w:rPr>
        <w:t>, s</w:t>
      </w:r>
      <w:r w:rsidR="00B332FD" w:rsidRPr="00A05111">
        <w:rPr>
          <w:rFonts w:ascii="Arial" w:eastAsia="Times New Roman" w:hAnsi="Arial" w:cs="Arial"/>
          <w:color w:val="000000"/>
          <w:spacing w:val="-1"/>
          <w:sz w:val="24"/>
          <w:szCs w:val="24"/>
          <w:lang w:val="es-ES" w:eastAsia="es-ES"/>
        </w:rPr>
        <w:t>i</w:t>
      </w:r>
      <w:r w:rsidR="00B332FD" w:rsidRPr="00A05111">
        <w:rPr>
          <w:rFonts w:ascii="Arial" w:eastAsia="Times New Roman" w:hAnsi="Arial" w:cs="Arial"/>
          <w:color w:val="000000"/>
          <w:sz w:val="24"/>
          <w:szCs w:val="24"/>
          <w:lang w:val="es-ES" w:eastAsia="es-ES"/>
        </w:rPr>
        <w:t>n</w:t>
      </w:r>
      <w:r w:rsidR="00B332FD" w:rsidRPr="00A05111">
        <w:rPr>
          <w:rFonts w:ascii="Arial" w:eastAsia="Times New Roman" w:hAnsi="Arial" w:cs="Arial"/>
          <w:color w:val="000000"/>
          <w:spacing w:val="-2"/>
          <w:sz w:val="24"/>
          <w:szCs w:val="24"/>
          <w:lang w:val="es-ES" w:eastAsia="es-ES"/>
        </w:rPr>
        <w:t xml:space="preserve"> </w:t>
      </w:r>
      <w:r w:rsidR="00B332FD" w:rsidRPr="00A05111">
        <w:rPr>
          <w:rFonts w:ascii="Arial" w:eastAsia="Times New Roman" w:hAnsi="Arial" w:cs="Arial"/>
          <w:color w:val="000000"/>
          <w:spacing w:val="1"/>
          <w:sz w:val="24"/>
          <w:szCs w:val="24"/>
          <w:lang w:val="es-ES" w:eastAsia="es-ES"/>
        </w:rPr>
        <w:t>m</w:t>
      </w:r>
      <w:r w:rsidR="00B332FD" w:rsidRPr="00A05111">
        <w:rPr>
          <w:rFonts w:ascii="Arial" w:eastAsia="Times New Roman" w:hAnsi="Arial" w:cs="Arial"/>
          <w:color w:val="000000"/>
          <w:sz w:val="24"/>
          <w:szCs w:val="24"/>
          <w:lang w:val="es-ES" w:eastAsia="es-ES"/>
        </w:rPr>
        <w:t>e</w:t>
      </w:r>
      <w:r w:rsidR="00B332FD" w:rsidRPr="00A05111">
        <w:rPr>
          <w:rFonts w:ascii="Arial" w:eastAsia="Times New Roman" w:hAnsi="Arial" w:cs="Arial"/>
          <w:color w:val="000000"/>
          <w:spacing w:val="-1"/>
          <w:sz w:val="24"/>
          <w:szCs w:val="24"/>
          <w:lang w:val="es-ES" w:eastAsia="es-ES"/>
        </w:rPr>
        <w:t>n</w:t>
      </w:r>
      <w:r w:rsidR="00B332FD" w:rsidRPr="00A05111">
        <w:rPr>
          <w:rFonts w:ascii="Arial" w:eastAsia="Times New Roman" w:hAnsi="Arial" w:cs="Arial"/>
          <w:color w:val="000000"/>
          <w:sz w:val="24"/>
          <w:szCs w:val="24"/>
          <w:lang w:val="es-ES" w:eastAsia="es-ES"/>
        </w:rPr>
        <w:t>osc</w:t>
      </w:r>
      <w:r w:rsidR="00B332FD" w:rsidRPr="00A05111">
        <w:rPr>
          <w:rFonts w:ascii="Arial" w:eastAsia="Times New Roman" w:hAnsi="Arial" w:cs="Arial"/>
          <w:color w:val="000000"/>
          <w:spacing w:val="-1"/>
          <w:sz w:val="24"/>
          <w:szCs w:val="24"/>
          <w:lang w:val="es-ES" w:eastAsia="es-ES"/>
        </w:rPr>
        <w:t>a</w:t>
      </w:r>
      <w:r w:rsidR="00B332FD" w:rsidRPr="00A05111">
        <w:rPr>
          <w:rFonts w:ascii="Arial" w:eastAsia="Times New Roman" w:hAnsi="Arial" w:cs="Arial"/>
          <w:color w:val="000000"/>
          <w:sz w:val="24"/>
          <w:szCs w:val="24"/>
          <w:lang w:val="es-ES" w:eastAsia="es-ES"/>
        </w:rPr>
        <w:t>bo</w:t>
      </w:r>
      <w:r w:rsidR="00B332FD" w:rsidRPr="00A05111">
        <w:rPr>
          <w:rFonts w:ascii="Arial" w:eastAsia="Times New Roman" w:hAnsi="Arial" w:cs="Arial"/>
          <w:color w:val="000000"/>
          <w:spacing w:val="-4"/>
          <w:sz w:val="24"/>
          <w:szCs w:val="24"/>
          <w:lang w:val="es-ES" w:eastAsia="es-ES"/>
        </w:rPr>
        <w:t xml:space="preserve"> </w:t>
      </w:r>
      <w:r w:rsidR="00B332FD" w:rsidRPr="00A05111">
        <w:rPr>
          <w:rFonts w:ascii="Arial" w:eastAsia="Times New Roman" w:hAnsi="Arial" w:cs="Arial"/>
          <w:color w:val="000000"/>
          <w:sz w:val="24"/>
          <w:szCs w:val="24"/>
          <w:lang w:val="es-ES" w:eastAsia="es-ES"/>
        </w:rPr>
        <w:t xml:space="preserve">de </w:t>
      </w:r>
      <w:r w:rsidR="00B332FD" w:rsidRPr="00A05111">
        <w:rPr>
          <w:rFonts w:ascii="Arial" w:eastAsia="Times New Roman" w:hAnsi="Arial" w:cs="Arial"/>
          <w:color w:val="000000"/>
          <w:spacing w:val="-1"/>
          <w:sz w:val="24"/>
          <w:szCs w:val="24"/>
          <w:lang w:val="es-ES" w:eastAsia="es-ES"/>
        </w:rPr>
        <w:t>l</w:t>
      </w:r>
      <w:r w:rsidR="00B332FD" w:rsidRPr="00A05111">
        <w:rPr>
          <w:rFonts w:ascii="Arial" w:eastAsia="Times New Roman" w:hAnsi="Arial" w:cs="Arial"/>
          <w:color w:val="000000"/>
          <w:sz w:val="24"/>
          <w:szCs w:val="24"/>
          <w:lang w:val="es-ES" w:eastAsia="es-ES"/>
        </w:rPr>
        <w:t>o es</w:t>
      </w:r>
      <w:r w:rsidR="00B332FD" w:rsidRPr="00A05111">
        <w:rPr>
          <w:rFonts w:ascii="Arial" w:eastAsia="Times New Roman" w:hAnsi="Arial" w:cs="Arial"/>
          <w:color w:val="000000"/>
          <w:spacing w:val="1"/>
          <w:sz w:val="24"/>
          <w:szCs w:val="24"/>
          <w:lang w:val="es-ES" w:eastAsia="es-ES"/>
        </w:rPr>
        <w:t>t</w:t>
      </w:r>
      <w:r w:rsidR="00B332FD" w:rsidRPr="00A05111">
        <w:rPr>
          <w:rFonts w:ascii="Arial" w:eastAsia="Times New Roman" w:hAnsi="Arial" w:cs="Arial"/>
          <w:color w:val="000000"/>
          <w:sz w:val="24"/>
          <w:szCs w:val="24"/>
          <w:lang w:val="es-ES" w:eastAsia="es-ES"/>
        </w:rPr>
        <w:t>a</w:t>
      </w:r>
      <w:r w:rsidR="00B332FD" w:rsidRPr="00A05111">
        <w:rPr>
          <w:rFonts w:ascii="Arial" w:eastAsia="Times New Roman" w:hAnsi="Arial" w:cs="Arial"/>
          <w:color w:val="000000"/>
          <w:spacing w:val="-1"/>
          <w:sz w:val="24"/>
          <w:szCs w:val="24"/>
          <w:lang w:val="es-ES" w:eastAsia="es-ES"/>
        </w:rPr>
        <w:t>bl</w:t>
      </w:r>
      <w:r w:rsidR="00B332FD" w:rsidRPr="00A05111">
        <w:rPr>
          <w:rFonts w:ascii="Arial" w:eastAsia="Times New Roman" w:hAnsi="Arial" w:cs="Arial"/>
          <w:color w:val="000000"/>
          <w:sz w:val="24"/>
          <w:szCs w:val="24"/>
          <w:lang w:val="es-ES" w:eastAsia="es-ES"/>
        </w:rPr>
        <w:t>ec</w:t>
      </w:r>
      <w:r w:rsidR="00B332FD" w:rsidRPr="00A05111">
        <w:rPr>
          <w:rFonts w:ascii="Arial" w:eastAsia="Times New Roman" w:hAnsi="Arial" w:cs="Arial"/>
          <w:color w:val="000000"/>
          <w:spacing w:val="-1"/>
          <w:sz w:val="24"/>
          <w:szCs w:val="24"/>
          <w:lang w:val="es-ES" w:eastAsia="es-ES"/>
        </w:rPr>
        <w:t>i</w:t>
      </w:r>
      <w:r w:rsidR="00B332FD" w:rsidRPr="00A05111">
        <w:rPr>
          <w:rFonts w:ascii="Arial" w:eastAsia="Times New Roman" w:hAnsi="Arial" w:cs="Arial"/>
          <w:color w:val="000000"/>
          <w:sz w:val="24"/>
          <w:szCs w:val="24"/>
          <w:lang w:val="es-ES" w:eastAsia="es-ES"/>
        </w:rPr>
        <w:t xml:space="preserve">do </w:t>
      </w:r>
      <w:r w:rsidR="00B332FD" w:rsidRPr="00A05111">
        <w:rPr>
          <w:rFonts w:ascii="Arial" w:eastAsia="Times New Roman" w:hAnsi="Arial" w:cs="Arial"/>
          <w:color w:val="000000"/>
          <w:spacing w:val="-3"/>
          <w:sz w:val="24"/>
          <w:szCs w:val="24"/>
          <w:lang w:val="es-ES" w:eastAsia="es-ES"/>
        </w:rPr>
        <w:t>e</w:t>
      </w:r>
      <w:r w:rsidR="00B332FD" w:rsidRPr="00A05111">
        <w:rPr>
          <w:rFonts w:ascii="Arial" w:eastAsia="Times New Roman" w:hAnsi="Arial" w:cs="Arial"/>
          <w:color w:val="000000"/>
          <w:sz w:val="24"/>
          <w:szCs w:val="24"/>
          <w:lang w:val="es-ES" w:eastAsia="es-ES"/>
        </w:rPr>
        <w:t xml:space="preserve">n el </w:t>
      </w:r>
      <w:r w:rsidR="00B332FD" w:rsidRPr="00A05111">
        <w:rPr>
          <w:rFonts w:ascii="Arial" w:eastAsia="Times New Roman" w:hAnsi="Arial" w:cs="Arial"/>
          <w:color w:val="000000"/>
          <w:spacing w:val="-3"/>
          <w:sz w:val="24"/>
          <w:szCs w:val="24"/>
          <w:lang w:val="es-ES" w:eastAsia="es-ES"/>
        </w:rPr>
        <w:t>a</w:t>
      </w:r>
      <w:r w:rsidR="00B332FD" w:rsidRPr="00A05111">
        <w:rPr>
          <w:rFonts w:ascii="Arial" w:eastAsia="Times New Roman" w:hAnsi="Arial" w:cs="Arial"/>
          <w:color w:val="000000"/>
          <w:spacing w:val="-2"/>
          <w:sz w:val="24"/>
          <w:szCs w:val="24"/>
          <w:lang w:val="es-ES" w:eastAsia="es-ES"/>
        </w:rPr>
        <w:t>r</w:t>
      </w:r>
      <w:r w:rsidR="00B332FD" w:rsidRPr="00A05111">
        <w:rPr>
          <w:rFonts w:ascii="Arial" w:eastAsia="Times New Roman" w:hAnsi="Arial" w:cs="Arial"/>
          <w:color w:val="000000"/>
          <w:spacing w:val="1"/>
          <w:sz w:val="24"/>
          <w:szCs w:val="24"/>
          <w:lang w:val="es-ES" w:eastAsia="es-ES"/>
        </w:rPr>
        <w:t>t</w:t>
      </w:r>
      <w:r w:rsidR="00B332FD" w:rsidRPr="00A05111">
        <w:rPr>
          <w:rFonts w:ascii="Arial" w:eastAsia="Times New Roman" w:hAnsi="Arial" w:cs="Arial"/>
          <w:color w:val="000000"/>
          <w:spacing w:val="-4"/>
          <w:sz w:val="24"/>
          <w:szCs w:val="24"/>
          <w:lang w:val="es-ES" w:eastAsia="es-ES"/>
        </w:rPr>
        <w:t>í</w:t>
      </w:r>
      <w:r w:rsidR="00B332FD" w:rsidRPr="00A05111">
        <w:rPr>
          <w:rFonts w:ascii="Arial" w:eastAsia="Times New Roman" w:hAnsi="Arial" w:cs="Arial"/>
          <w:color w:val="000000"/>
          <w:sz w:val="24"/>
          <w:szCs w:val="24"/>
          <w:lang w:val="es-ES" w:eastAsia="es-ES"/>
        </w:rPr>
        <w:t>cu</w:t>
      </w:r>
      <w:r w:rsidR="00B332FD" w:rsidRPr="00A05111">
        <w:rPr>
          <w:rFonts w:ascii="Arial" w:eastAsia="Times New Roman" w:hAnsi="Arial" w:cs="Arial"/>
          <w:color w:val="000000"/>
          <w:spacing w:val="-1"/>
          <w:sz w:val="24"/>
          <w:szCs w:val="24"/>
          <w:lang w:val="es-ES" w:eastAsia="es-ES"/>
        </w:rPr>
        <w:t>l</w:t>
      </w:r>
      <w:r w:rsidR="00B332FD" w:rsidRPr="00A05111">
        <w:rPr>
          <w:rFonts w:ascii="Arial" w:eastAsia="Times New Roman" w:hAnsi="Arial" w:cs="Arial"/>
          <w:color w:val="000000"/>
          <w:sz w:val="24"/>
          <w:szCs w:val="24"/>
          <w:lang w:val="es-ES" w:eastAsia="es-ES"/>
        </w:rPr>
        <w:t>o</w:t>
      </w:r>
      <w:r w:rsidR="00B332FD" w:rsidRPr="00A05111">
        <w:rPr>
          <w:rFonts w:ascii="Arial" w:eastAsia="Times New Roman" w:hAnsi="Arial" w:cs="Arial"/>
          <w:color w:val="000000"/>
          <w:spacing w:val="2"/>
          <w:sz w:val="24"/>
          <w:szCs w:val="24"/>
          <w:lang w:val="es-ES" w:eastAsia="es-ES"/>
        </w:rPr>
        <w:t xml:space="preserve"> </w:t>
      </w:r>
      <w:r w:rsidR="00B332FD" w:rsidRPr="00A05111">
        <w:rPr>
          <w:rFonts w:ascii="Arial" w:eastAsia="Times New Roman" w:hAnsi="Arial" w:cs="Arial"/>
          <w:color w:val="000000"/>
          <w:sz w:val="24"/>
          <w:szCs w:val="24"/>
          <w:lang w:val="es-ES" w:eastAsia="es-ES"/>
        </w:rPr>
        <w:t>1</w:t>
      </w:r>
      <w:r w:rsidR="00B332FD" w:rsidRPr="00A05111">
        <w:rPr>
          <w:rFonts w:ascii="Arial" w:eastAsia="Times New Roman" w:hAnsi="Arial" w:cs="Arial"/>
          <w:color w:val="000000"/>
          <w:spacing w:val="-1"/>
          <w:sz w:val="24"/>
          <w:szCs w:val="24"/>
          <w:lang w:val="es-ES" w:eastAsia="es-ES"/>
        </w:rPr>
        <w:t>0</w:t>
      </w:r>
      <w:r w:rsidR="00B332FD" w:rsidRPr="00A05111">
        <w:rPr>
          <w:rFonts w:ascii="Arial" w:eastAsia="Times New Roman" w:hAnsi="Arial" w:cs="Arial"/>
          <w:color w:val="000000"/>
          <w:sz w:val="24"/>
          <w:szCs w:val="24"/>
          <w:lang w:val="es-ES" w:eastAsia="es-ES"/>
        </w:rPr>
        <w:t xml:space="preserve">7 del </w:t>
      </w:r>
      <w:r w:rsidR="00B332FD" w:rsidRPr="00A05111">
        <w:rPr>
          <w:rFonts w:ascii="Arial" w:eastAsia="Times New Roman" w:hAnsi="Arial" w:cs="Arial"/>
          <w:color w:val="000000"/>
          <w:spacing w:val="-1"/>
          <w:sz w:val="24"/>
          <w:szCs w:val="24"/>
          <w:lang w:val="es-ES" w:eastAsia="es-ES"/>
        </w:rPr>
        <w:t>R</w:t>
      </w:r>
      <w:r w:rsidR="00B332FD" w:rsidRPr="00A05111">
        <w:rPr>
          <w:rFonts w:ascii="Arial" w:eastAsia="Times New Roman" w:hAnsi="Arial" w:cs="Arial"/>
          <w:color w:val="000000"/>
          <w:sz w:val="24"/>
          <w:szCs w:val="24"/>
          <w:lang w:val="es-ES" w:eastAsia="es-ES"/>
        </w:rPr>
        <w:t>e</w:t>
      </w:r>
      <w:r w:rsidR="00B332FD" w:rsidRPr="00A05111">
        <w:rPr>
          <w:rFonts w:ascii="Arial" w:eastAsia="Times New Roman" w:hAnsi="Arial" w:cs="Arial"/>
          <w:color w:val="000000"/>
          <w:spacing w:val="2"/>
          <w:sz w:val="24"/>
          <w:szCs w:val="24"/>
          <w:lang w:val="es-ES" w:eastAsia="es-ES"/>
        </w:rPr>
        <w:t>g</w:t>
      </w:r>
      <w:r w:rsidR="00B332FD" w:rsidRPr="00A05111">
        <w:rPr>
          <w:rFonts w:ascii="Arial" w:eastAsia="Times New Roman" w:hAnsi="Arial" w:cs="Arial"/>
          <w:color w:val="000000"/>
          <w:spacing w:val="-1"/>
          <w:sz w:val="24"/>
          <w:szCs w:val="24"/>
          <w:lang w:val="es-ES" w:eastAsia="es-ES"/>
        </w:rPr>
        <w:t>l</w:t>
      </w:r>
      <w:r w:rsidR="00B332FD" w:rsidRPr="00A05111">
        <w:rPr>
          <w:rFonts w:ascii="Arial" w:eastAsia="Times New Roman" w:hAnsi="Arial" w:cs="Arial"/>
          <w:color w:val="000000"/>
          <w:sz w:val="24"/>
          <w:szCs w:val="24"/>
          <w:lang w:val="es-ES" w:eastAsia="es-ES"/>
        </w:rPr>
        <w:t>ame</w:t>
      </w:r>
      <w:r w:rsidR="00B332FD" w:rsidRPr="00A05111">
        <w:rPr>
          <w:rFonts w:ascii="Arial" w:eastAsia="Times New Roman" w:hAnsi="Arial" w:cs="Arial"/>
          <w:color w:val="000000"/>
          <w:spacing w:val="-3"/>
          <w:sz w:val="24"/>
          <w:szCs w:val="24"/>
          <w:lang w:val="es-ES" w:eastAsia="es-ES"/>
        </w:rPr>
        <w:t>n</w:t>
      </w:r>
      <w:r w:rsidR="00B332FD" w:rsidRPr="00A05111">
        <w:rPr>
          <w:rFonts w:ascii="Arial" w:eastAsia="Times New Roman" w:hAnsi="Arial" w:cs="Arial"/>
          <w:color w:val="000000"/>
          <w:spacing w:val="-1"/>
          <w:sz w:val="24"/>
          <w:szCs w:val="24"/>
          <w:lang w:val="es-ES" w:eastAsia="es-ES"/>
        </w:rPr>
        <w:t>t</w:t>
      </w:r>
      <w:r w:rsidR="00B332FD" w:rsidRPr="00A05111">
        <w:rPr>
          <w:rFonts w:ascii="Arial" w:eastAsia="Times New Roman" w:hAnsi="Arial" w:cs="Arial"/>
          <w:color w:val="000000"/>
          <w:sz w:val="24"/>
          <w:szCs w:val="24"/>
          <w:lang w:val="es-ES" w:eastAsia="es-ES"/>
        </w:rPr>
        <w:t>o de</w:t>
      </w:r>
      <w:r w:rsidR="00B332FD" w:rsidRPr="00A05111">
        <w:rPr>
          <w:rFonts w:ascii="Arial" w:eastAsia="Times New Roman" w:hAnsi="Arial" w:cs="Arial"/>
          <w:color w:val="000000"/>
          <w:spacing w:val="1"/>
          <w:sz w:val="24"/>
          <w:szCs w:val="24"/>
          <w:lang w:val="es-ES" w:eastAsia="es-ES"/>
        </w:rPr>
        <w:t xml:space="preserve"> </w:t>
      </w:r>
      <w:r w:rsidR="00B332FD" w:rsidRPr="00A05111">
        <w:rPr>
          <w:rFonts w:ascii="Arial" w:eastAsia="Times New Roman" w:hAnsi="Arial" w:cs="Arial"/>
          <w:color w:val="000000"/>
          <w:spacing w:val="-1"/>
          <w:sz w:val="24"/>
          <w:szCs w:val="24"/>
          <w:lang w:val="es-ES" w:eastAsia="es-ES"/>
        </w:rPr>
        <w:t>l</w:t>
      </w:r>
      <w:r w:rsidR="00B332FD" w:rsidRPr="00A05111">
        <w:rPr>
          <w:rFonts w:ascii="Arial" w:eastAsia="Times New Roman" w:hAnsi="Arial" w:cs="Arial"/>
          <w:color w:val="000000"/>
          <w:sz w:val="24"/>
          <w:szCs w:val="24"/>
          <w:lang w:val="es-ES" w:eastAsia="es-ES"/>
        </w:rPr>
        <w:t>a Le</w:t>
      </w:r>
      <w:r w:rsidR="00B332FD" w:rsidRPr="00A05111">
        <w:rPr>
          <w:rFonts w:ascii="Arial" w:eastAsia="Times New Roman" w:hAnsi="Arial" w:cs="Arial"/>
          <w:color w:val="000000"/>
          <w:spacing w:val="-2"/>
          <w:sz w:val="24"/>
          <w:szCs w:val="24"/>
          <w:lang w:val="es-ES" w:eastAsia="es-ES"/>
        </w:rPr>
        <w:t>y</w:t>
      </w:r>
      <w:r w:rsidR="00B332FD" w:rsidRPr="00A05111">
        <w:rPr>
          <w:rFonts w:ascii="Arial" w:eastAsia="Times New Roman" w:hAnsi="Arial" w:cs="Arial"/>
          <w:color w:val="000000"/>
          <w:sz w:val="24"/>
          <w:szCs w:val="24"/>
          <w:lang w:val="es-ES" w:eastAsia="es-ES"/>
        </w:rPr>
        <w:t>.</w:t>
      </w:r>
    </w:p>
    <w:p w14:paraId="18960A8F" w14:textId="77777777" w:rsidR="00B332FD" w:rsidRPr="00A05111" w:rsidRDefault="00B332FD" w:rsidP="00B332F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2FC2F856" w14:textId="77777777" w:rsidR="00B332FD" w:rsidRDefault="00B332FD" w:rsidP="00B332FD">
      <w:pPr>
        <w:pStyle w:val="Textocomentario"/>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B332FD" w:rsidRPr="006C35D6" w14:paraId="58C653CE" w14:textId="77777777" w:rsidTr="004C72A3">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445BD0C" w14:textId="77777777" w:rsidR="00B332FD" w:rsidRPr="006C35D6" w:rsidRDefault="00B332FD" w:rsidP="004C72A3">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42724A7A" w14:textId="77777777" w:rsidR="00B332FD" w:rsidRPr="006C35D6" w:rsidRDefault="00B332FD" w:rsidP="004C72A3">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A01159" w14:textId="77777777" w:rsidR="00B332FD" w:rsidRPr="0018304E" w:rsidRDefault="00B332FD" w:rsidP="004C72A3">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B332FD" w:rsidRPr="00721713" w14:paraId="49D8441D" w14:textId="77777777" w:rsidTr="004C72A3">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B89E2D2"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03CF7C18"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B332FD" w:rsidRPr="00721713" w14:paraId="61A00E3C" w14:textId="77777777" w:rsidTr="004C72A3">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8B9EA80"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lastRenderedPageBreak/>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F65DB6F"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B332FD" w:rsidRPr="00721713" w14:paraId="79DD1BBB" w14:textId="77777777" w:rsidTr="004C72A3">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44EF6A0"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7458485D"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B332FD" w:rsidRPr="006C35D6" w14:paraId="059879CC" w14:textId="77777777" w:rsidTr="004C72A3">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327DD031"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1FA8BA00" w14:textId="77777777" w:rsidR="00B332FD" w:rsidRPr="00AA1349" w:rsidRDefault="00B332FD" w:rsidP="004C72A3">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6F44F71" w14:textId="77777777" w:rsidR="00B332FD" w:rsidRPr="00AA1349" w:rsidRDefault="00B332FD" w:rsidP="004C72A3">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53B58A37" w14:textId="77777777" w:rsidR="00B332FD" w:rsidRDefault="00B332F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471D8CF6"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29AA9559"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18553B">
        <w:rPr>
          <w:rFonts w:ascii="Arial" w:eastAsia="Times New Roman" w:hAnsi="Arial" w:cs="Arial"/>
          <w:sz w:val="24"/>
          <w:szCs w:val="24"/>
          <w:lang w:val="es-ES" w:eastAsia="es-ES"/>
        </w:rPr>
        <w:t>del contrato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lastRenderedPageBreak/>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lastRenderedPageBreak/>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 xml:space="preserve">La Auditoría Superior del Estado de Jalisco es el órgano técnico, profesional y especializado de revisión y examen del Congreso del Estado, dotado de autonomía técnica y de gestión en el ejercicio de sus atribuciones y que puede decidir sobre su </w:t>
      </w:r>
      <w:r w:rsidRPr="007D5D48">
        <w:rPr>
          <w:rFonts w:ascii="Arial" w:hAnsi="Arial" w:cs="Arial"/>
        </w:rPr>
        <w:lastRenderedPageBreak/>
        <w:t>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w:t>
      </w:r>
      <w:r>
        <w:rPr>
          <w:rFonts w:ascii="Arial" w:hAnsi="Arial" w:cs="Arial"/>
        </w:rPr>
        <w:lastRenderedPageBreak/>
        <w:t xml:space="preserve">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 xml:space="preserve">mediante transferencia electrónica de fondos a la </w:t>
      </w:r>
      <w:r w:rsidRPr="00B614DB">
        <w:rPr>
          <w:rFonts w:ascii="Arial" w:hAnsi="Arial" w:cs="Arial"/>
          <w:sz w:val="24"/>
          <w:szCs w:val="24"/>
        </w:rPr>
        <w:lastRenderedPageBreak/>
        <w:t>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lastRenderedPageBreak/>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xml:space="preserve">”, </w:t>
      </w:r>
      <w:r w:rsidRPr="003A4BA6">
        <w:rPr>
          <w:rFonts w:ascii="Arial" w:hAnsi="Arial" w:cs="Arial"/>
          <w:sz w:val="24"/>
          <w:szCs w:val="24"/>
        </w:rPr>
        <w:lastRenderedPageBreak/>
        <w:t>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lastRenderedPageBreak/>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 xml:space="preserve">Ley de Austeridad y Ahorro del Estado de Jalisco y sus Municipios; artículos 1°, 6°, 11 y 12 del Reglamento de Austeridad y Ahorro de la Auditoría Superior del Estado de Jalisco; artículos 1° numeral 1, fracción IV; </w:t>
      </w:r>
      <w:r w:rsidRPr="00470E4B">
        <w:rPr>
          <w:rFonts w:ascii="Arial" w:hAnsi="Arial" w:cs="Arial"/>
          <w:sz w:val="24"/>
          <w:szCs w:val="24"/>
        </w:rPr>
        <w:lastRenderedPageBreak/>
        <w:t>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4C72A3" w:rsidRDefault="004C72A3" w:rsidP="00203087">
      <w:pPr>
        <w:spacing w:after="0" w:line="240" w:lineRule="auto"/>
      </w:pPr>
      <w:r>
        <w:separator/>
      </w:r>
    </w:p>
  </w:endnote>
  <w:endnote w:type="continuationSeparator" w:id="0">
    <w:p w14:paraId="339D9169" w14:textId="77777777" w:rsidR="004C72A3" w:rsidRDefault="004C72A3"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560B7F3" w:rsidR="004C72A3" w:rsidRPr="00FE3509" w:rsidRDefault="004C72A3"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353CE">
          <w:rPr>
            <w:rFonts w:ascii="Arial" w:hAnsi="Arial" w:cs="Arial"/>
            <w:noProof/>
            <w:sz w:val="22"/>
          </w:rPr>
          <w:t>21</w:t>
        </w:r>
        <w:r w:rsidRPr="00FE3509">
          <w:rPr>
            <w:rFonts w:ascii="Arial" w:hAnsi="Arial" w:cs="Arial"/>
            <w:sz w:val="22"/>
          </w:rPr>
          <w:fldChar w:fldCharType="end"/>
        </w:r>
      </w:p>
    </w:sdtContent>
  </w:sdt>
  <w:p w14:paraId="4BD93C9F" w14:textId="77777777" w:rsidR="004C72A3" w:rsidRDefault="004C72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4C72A3" w:rsidRDefault="004C72A3" w:rsidP="00203087">
      <w:pPr>
        <w:spacing w:after="0" w:line="240" w:lineRule="auto"/>
      </w:pPr>
      <w:r>
        <w:separator/>
      </w:r>
    </w:p>
  </w:footnote>
  <w:footnote w:type="continuationSeparator" w:id="0">
    <w:p w14:paraId="13365356" w14:textId="77777777" w:rsidR="004C72A3" w:rsidRDefault="004C72A3"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6C15CA"/>
    <w:multiLevelType w:val="hybridMultilevel"/>
    <w:tmpl w:val="4E709432"/>
    <w:lvl w:ilvl="0" w:tplc="D9423E5A">
      <w:start w:val="1"/>
      <w:numFmt w:val="decimal"/>
      <w:lvlText w:val="%1."/>
      <w:lvlJc w:val="left"/>
      <w:pPr>
        <w:ind w:left="360" w:hanging="360"/>
      </w:pPr>
      <w:rPr>
        <w:rFonts w:hint="default"/>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9"/>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9627B"/>
    <w:rsid w:val="000A578C"/>
    <w:rsid w:val="000A60F7"/>
    <w:rsid w:val="000C341B"/>
    <w:rsid w:val="000C5354"/>
    <w:rsid w:val="000D4B48"/>
    <w:rsid w:val="000D558B"/>
    <w:rsid w:val="000E4198"/>
    <w:rsid w:val="000F57B7"/>
    <w:rsid w:val="00112D85"/>
    <w:rsid w:val="001153E6"/>
    <w:rsid w:val="001214A0"/>
    <w:rsid w:val="00122575"/>
    <w:rsid w:val="001269C6"/>
    <w:rsid w:val="00127875"/>
    <w:rsid w:val="001353CE"/>
    <w:rsid w:val="00144904"/>
    <w:rsid w:val="001611AF"/>
    <w:rsid w:val="00161382"/>
    <w:rsid w:val="00163A3F"/>
    <w:rsid w:val="001731C2"/>
    <w:rsid w:val="0018205D"/>
    <w:rsid w:val="0018304E"/>
    <w:rsid w:val="0018553B"/>
    <w:rsid w:val="00197543"/>
    <w:rsid w:val="001A11E4"/>
    <w:rsid w:val="001A64A0"/>
    <w:rsid w:val="001D3950"/>
    <w:rsid w:val="001D4611"/>
    <w:rsid w:val="001D7A9C"/>
    <w:rsid w:val="00203087"/>
    <w:rsid w:val="00254B00"/>
    <w:rsid w:val="00261C58"/>
    <w:rsid w:val="0026291C"/>
    <w:rsid w:val="00262FA0"/>
    <w:rsid w:val="00284988"/>
    <w:rsid w:val="0028498C"/>
    <w:rsid w:val="002957BE"/>
    <w:rsid w:val="002A38F1"/>
    <w:rsid w:val="002A6AE2"/>
    <w:rsid w:val="002B595A"/>
    <w:rsid w:val="002C5FA3"/>
    <w:rsid w:val="002D0468"/>
    <w:rsid w:val="002E254B"/>
    <w:rsid w:val="002F17AF"/>
    <w:rsid w:val="00310815"/>
    <w:rsid w:val="00312FA9"/>
    <w:rsid w:val="003131BB"/>
    <w:rsid w:val="00313A8C"/>
    <w:rsid w:val="003228CA"/>
    <w:rsid w:val="00366F11"/>
    <w:rsid w:val="003676A6"/>
    <w:rsid w:val="00372372"/>
    <w:rsid w:val="00384B80"/>
    <w:rsid w:val="00393D51"/>
    <w:rsid w:val="00396B21"/>
    <w:rsid w:val="00397416"/>
    <w:rsid w:val="003A4CD2"/>
    <w:rsid w:val="003C2BA9"/>
    <w:rsid w:val="003D1522"/>
    <w:rsid w:val="003D4281"/>
    <w:rsid w:val="003E60EE"/>
    <w:rsid w:val="003E79FB"/>
    <w:rsid w:val="004024CB"/>
    <w:rsid w:val="00403C45"/>
    <w:rsid w:val="00404892"/>
    <w:rsid w:val="0040494E"/>
    <w:rsid w:val="00416643"/>
    <w:rsid w:val="00445162"/>
    <w:rsid w:val="00447429"/>
    <w:rsid w:val="00460114"/>
    <w:rsid w:val="00461068"/>
    <w:rsid w:val="0046403C"/>
    <w:rsid w:val="00471827"/>
    <w:rsid w:val="004738FA"/>
    <w:rsid w:val="0048188E"/>
    <w:rsid w:val="004962BC"/>
    <w:rsid w:val="004A05C0"/>
    <w:rsid w:val="004A1CDD"/>
    <w:rsid w:val="004A4730"/>
    <w:rsid w:val="004A5E2B"/>
    <w:rsid w:val="004B34A9"/>
    <w:rsid w:val="004B36AC"/>
    <w:rsid w:val="004C34D2"/>
    <w:rsid w:val="004C3E29"/>
    <w:rsid w:val="004C6750"/>
    <w:rsid w:val="004C72A3"/>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1588"/>
    <w:rsid w:val="0056427E"/>
    <w:rsid w:val="005672D9"/>
    <w:rsid w:val="00576447"/>
    <w:rsid w:val="005837E8"/>
    <w:rsid w:val="005A2ECD"/>
    <w:rsid w:val="005B33D1"/>
    <w:rsid w:val="005C6643"/>
    <w:rsid w:val="005E3F48"/>
    <w:rsid w:val="005E604F"/>
    <w:rsid w:val="005E68CB"/>
    <w:rsid w:val="005F25C2"/>
    <w:rsid w:val="005F350A"/>
    <w:rsid w:val="00601E4F"/>
    <w:rsid w:val="00601E84"/>
    <w:rsid w:val="006038D7"/>
    <w:rsid w:val="00614569"/>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4079"/>
    <w:rsid w:val="00715B8F"/>
    <w:rsid w:val="00721713"/>
    <w:rsid w:val="00721DA6"/>
    <w:rsid w:val="007222C4"/>
    <w:rsid w:val="00732669"/>
    <w:rsid w:val="00743E28"/>
    <w:rsid w:val="00747F65"/>
    <w:rsid w:val="00771827"/>
    <w:rsid w:val="0078098E"/>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33A3"/>
    <w:rsid w:val="00886770"/>
    <w:rsid w:val="008918D7"/>
    <w:rsid w:val="008A616A"/>
    <w:rsid w:val="008B1F8F"/>
    <w:rsid w:val="008B2B60"/>
    <w:rsid w:val="008C488F"/>
    <w:rsid w:val="008D33E1"/>
    <w:rsid w:val="008E0A7E"/>
    <w:rsid w:val="008F7045"/>
    <w:rsid w:val="009010AD"/>
    <w:rsid w:val="00913F3F"/>
    <w:rsid w:val="00923D2C"/>
    <w:rsid w:val="00926113"/>
    <w:rsid w:val="00930913"/>
    <w:rsid w:val="00932C85"/>
    <w:rsid w:val="0094249D"/>
    <w:rsid w:val="009530A6"/>
    <w:rsid w:val="00954103"/>
    <w:rsid w:val="00962630"/>
    <w:rsid w:val="00962C33"/>
    <w:rsid w:val="00962D34"/>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2FD"/>
    <w:rsid w:val="00B33783"/>
    <w:rsid w:val="00B339CC"/>
    <w:rsid w:val="00B43F01"/>
    <w:rsid w:val="00B7089A"/>
    <w:rsid w:val="00B77B84"/>
    <w:rsid w:val="00B84813"/>
    <w:rsid w:val="00BA18C5"/>
    <w:rsid w:val="00BA5F47"/>
    <w:rsid w:val="00BB1A2E"/>
    <w:rsid w:val="00BB4ECD"/>
    <w:rsid w:val="00BF6CAE"/>
    <w:rsid w:val="00C12DB4"/>
    <w:rsid w:val="00C17491"/>
    <w:rsid w:val="00C17719"/>
    <w:rsid w:val="00C24EE1"/>
    <w:rsid w:val="00C32784"/>
    <w:rsid w:val="00C36A1D"/>
    <w:rsid w:val="00C432A8"/>
    <w:rsid w:val="00C5034E"/>
    <w:rsid w:val="00C52726"/>
    <w:rsid w:val="00C544EB"/>
    <w:rsid w:val="00C678FA"/>
    <w:rsid w:val="00C728CB"/>
    <w:rsid w:val="00C735D6"/>
    <w:rsid w:val="00C83F55"/>
    <w:rsid w:val="00C94062"/>
    <w:rsid w:val="00C97CB8"/>
    <w:rsid w:val="00CB1097"/>
    <w:rsid w:val="00CF1295"/>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347"/>
    <w:rsid w:val="00D82E95"/>
    <w:rsid w:val="00D84C57"/>
    <w:rsid w:val="00D87003"/>
    <w:rsid w:val="00DA0B8F"/>
    <w:rsid w:val="00DA14F0"/>
    <w:rsid w:val="00DB4FF2"/>
    <w:rsid w:val="00DC2953"/>
    <w:rsid w:val="00DD5A52"/>
    <w:rsid w:val="00DE46FE"/>
    <w:rsid w:val="00DE4FE9"/>
    <w:rsid w:val="00DF77CF"/>
    <w:rsid w:val="00E20542"/>
    <w:rsid w:val="00E26562"/>
    <w:rsid w:val="00E40BA1"/>
    <w:rsid w:val="00E40F0C"/>
    <w:rsid w:val="00E43BC1"/>
    <w:rsid w:val="00E460CF"/>
    <w:rsid w:val="00E66180"/>
    <w:rsid w:val="00E7222D"/>
    <w:rsid w:val="00E77CF3"/>
    <w:rsid w:val="00E87FCF"/>
    <w:rsid w:val="00EB2361"/>
    <w:rsid w:val="00EB79B5"/>
    <w:rsid w:val="00EC1339"/>
    <w:rsid w:val="00EC365B"/>
    <w:rsid w:val="00EC3D11"/>
    <w:rsid w:val="00ED14C4"/>
    <w:rsid w:val="00ED1805"/>
    <w:rsid w:val="00EE6479"/>
    <w:rsid w:val="00F05D0E"/>
    <w:rsid w:val="00F06316"/>
    <w:rsid w:val="00F40DE9"/>
    <w:rsid w:val="00F41914"/>
    <w:rsid w:val="00F4383D"/>
    <w:rsid w:val="00F54DE6"/>
    <w:rsid w:val="00F647D3"/>
    <w:rsid w:val="00F657DF"/>
    <w:rsid w:val="00F7753C"/>
    <w:rsid w:val="00F86E7B"/>
    <w:rsid w:val="00F875B6"/>
    <w:rsid w:val="00F9166E"/>
    <w:rsid w:val="00F93013"/>
    <w:rsid w:val="00F94449"/>
    <w:rsid w:val="00F956CB"/>
    <w:rsid w:val="00FA3609"/>
    <w:rsid w:val="00FB14E7"/>
    <w:rsid w:val="00FB33FF"/>
    <w:rsid w:val="00FC35D2"/>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9A2F-3522-4AAB-8345-00A0AF5E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49</Pages>
  <Words>17869</Words>
  <Characters>98281</Characters>
  <Application>Microsoft Office Word</Application>
  <DocSecurity>0</DocSecurity>
  <Lines>819</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29</cp:revision>
  <cp:lastPrinted>2023-11-29T19:52:00Z</cp:lastPrinted>
  <dcterms:created xsi:type="dcterms:W3CDTF">2024-04-30T19:20:00Z</dcterms:created>
  <dcterms:modified xsi:type="dcterms:W3CDTF">2024-06-07T18:47:00Z</dcterms:modified>
</cp:coreProperties>
</file>